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20"/>
        <w:jc w:val="center"/>
      </w:pPr>
      <w:r>
        <w:rPr>
          <w:b/>
          <w:bCs/>
          <w:sz w:val="28"/>
          <w:szCs w:val="28"/>
        </w:rPr>
        <w:t xml:space="preserve">MEMORANDUM</w:t>
      </w:r>
    </w:p>
    <w:p>
      <w:pPr>
        <w:spacing w:after="60"/>
      </w:pPr>
      <w:r>
        <w:t xml:space="preserve">TO: Investment Committee</w:t>
      </w:r>
    </w:p>
    <w:p>
      <w:pPr>
        <w:spacing w:after="60"/>
      </w:pPr>
      <w:r>
        <w:t xml:space="preserve">FROM: AeroMaint™ Founding Team</w:t>
      </w:r>
    </w:p>
    <w:p>
      <w:pPr>
        <w:spacing w:after="60"/>
      </w:pPr>
      <w:r>
        <w:t xml:space="preserve">DATE: April 1, 2026</w:t>
      </w:r>
    </w:p>
    <w:p>
      <w:pPr>
        <w:spacing w:after="240"/>
      </w:pPr>
      <w:r>
        <w:t xml:space="preserve">RE: Pre-Seed Funding Request – $500K</w:t>
      </w:r>
    </w:p>
    <w:p>
      <w:pPr>
        <w:pStyle w:val="Heading1"/>
      </w:pPr>
      <w:r>
        <w:t xml:space="preserve">Executive Summary</w:t>
      </w:r>
    </w:p>
    <w:p>
      <w:r>
        <w:t xml:space="preserve">AeroMaint™ is a blockchain-powered compliance and maintenance attestation platform for aviation components. We target the $5B component tracking and certification segment within the $90B aviation MRO market. Our 90-day MVP will serve one OEM, 2–3 MROs, and demonstrate proof of concept with landing gear assemblies. We are seeking $500K in pre-seed capital to accelerate product development, lock in OEM pilots, and validate regulatory integration with the FAA.</w:t>
      </w:r>
    </w:p>
    <w:p>
      <w:pPr>
        <w:spacing w:after="240"/>
      </w:pPr>
      <w:r>
        <w:t xml:space="preserve"/>
      </w:r>
    </w:p>
    <w:p>
      <w:pPr>
        <w:pStyle w:val="Heading1"/>
      </w:pPr>
      <w:r>
        <w:t xml:space="preserve">The Problem</w:t>
      </w:r>
    </w:p>
    <w:p>
      <w:pPr>
        <w:spacing w:after="120"/>
      </w:pPr>
      <w:r>
        <w:t xml:space="preserve">The aviation industry faces a critical compliance and provenance challenge. Over 10 million components operate in commercial and general aviation globally, yet maintenance histories remain fragmented across paper logs, vendor databases, and proprietary MRO systems. This fragmentation creates three acute risks:</w:t>
      </w:r>
    </w:p>
    <w:p>
      <w:pPr>
        <w:pStyle w:val="ListParagraph"/>
        <w:numPr>
          <w:ilvl w:val="0"/>
          <w:numId w:val="2"/>
        </w:numPr>
        <w:spacing w:after="60"/>
      </w:pPr>
      <text>Regulatory friction</text>
      <w:r>
        <w:t xml:space="preserve">: FAA Part 43 and EASA compliance audits require manual labor (30–40 hrs per audit per aircraft), creating bottlenecks for regulators and MROs.</w:t>
      </w:r>
    </w:p>
    <w:p>
      <w:pPr>
        <w:pStyle w:val="ListParagraph"/>
        <w:numPr>
          <w:ilvl w:val="0"/>
          <w:numId w:val="2"/>
        </w:numPr>
        <w:spacing w:after="60"/>
      </w:pPr>
      <text>Counterfeit risk</text>
      <w:r>
        <w:t xml:space="preserve">: Component provenance cannot be cryptographically verified, enabling counterfeit and salvage parts to enter supply chains. Even one compromised landing gear or avionics unit poses catastrophic safety risk.</w:t>
      </w:r>
    </w:p>
    <w:p>
      <w:pPr>
        <w:pStyle w:val="ListParagraph"/>
        <w:numPr>
          <w:ilvl w:val="0"/>
          <w:numId w:val="2"/>
        </w:numPr>
        <w:spacing w:after="240"/>
      </w:pPr>
      <text>Operational inefficiency</text>
      <w:r>
        <w:t xml:space="preserve">: MROs spend 15–20% of labor on compliance documentation rather than core maintenance, inflating turnaround times and costs.</w:t>
      </w:r>
    </w:p>
    <w:p>
      <w:pPr>
        <w:pStyle w:val="Heading1"/>
      </w:pPr>
      <w:r>
        <w:t xml:space="preserve">The AeroMaint™ Solution</w:t>
      </w:r>
    </w:p>
    <w:p>
      <w:r>
        <w:t xml:space="preserve">AeroMaint™ is a DUAL-native ledger that creates an immutable, cryptographically verified history for each serialized component. Each component inherits:</w:t>
      </w:r>
    </w:p>
    <w:p>
      <w:pPr>
        <w:pStyle w:val="ListParagraph"/>
        <w:numPr>
          <w:ilvl w:val="0"/>
          <w:numId w:val="2"/>
        </w:numPr>
        <w:spacing w:after="60"/>
      </w:pPr>
      <text>Manufacturer serial hash</text>
      <w:r>
        <w:t xml:space="preserve">: Proof of origin and authenticity from OEM</w:t>
      </w:r>
    </w:p>
    <w:p>
      <w:pPr>
        <w:pStyle w:val="ListParagraph"/>
        <w:numPr>
          <w:ilvl w:val="0"/>
          <w:numId w:val="2"/>
        </w:numPr>
        <w:spacing w:after="60"/>
      </w:pPr>
      <text>Overhaul event signatures</text>
      <w:r>
        <w:t xml:space="preserve">: Time-stamped, multi-signature attestations from authorized MROs</w:t>
      </w:r>
    </w:p>
    <w:p>
      <w:pPr>
        <w:pStyle w:val="ListParagraph"/>
        <w:numPr>
          <w:ilvl w:val="0"/>
          <w:numId w:val="2"/>
        </w:numPr>
        <w:spacing w:after="60"/>
      </w:pPr>
      <text>Release-to-Service certifications</text>
      <w:r>
        <w:t xml:space="preserve">: FAA Part 43 / EASA compliance embedded in smart contracts</w:t>
      </w:r>
    </w:p>
    <w:p>
      <w:pPr>
        <w:pStyle w:val="ListParagraph"/>
        <w:numPr>
          <w:ilvl w:val="0"/>
          <w:numId w:val="2"/>
        </w:numPr>
        <w:spacing w:after="240"/>
      </w:pPr>
      <text>State machine</text>
      <w:r>
        <w:t xml:space="preserve">: Component lifecycle tracked through states (In_Service → Scheduled_Maintenance → Under_Maintenance → Released_to_Service, plus Degraded Mode)</w:t>
      </w:r>
    </w:p>
    <w:p>
      <w:pPr>
        <w:pStyle w:val="Heading1"/>
      </w:pPr>
      <w:r>
        <w:t xml:space="preserve">90-Day MVP Scope</w:t>
      </w:r>
    </w:p>
    <w:p>
      <w:r>
        <w:t xml:space="preserve">Minimum Viable Product for proof of concept and OEM validation:</w:t>
      </w:r>
    </w:p>
    <w:p>
      <w:pPr>
        <w:spacing w:after="240"/>
      </w:pPr>
      <text>Component category</text>
      <text>Landing gear assemblies (single OEM, e.g., Goodrich)</text>
      <text>MRO network</text>
      <text>2–3 certified MROs for attestations</text>
      <text>FAA compliance</text>
      <text>Part 43 rules + EASA equivalents embedded in Compliance Layer</text>
      <text>User interface</text>
      <text>Web + mobile lookup, event logging, compliance report generation</text>
    </w:p>
    <w:p>
      <w:pPr>
        <w:pStyle w:val="Heading1"/>
      </w:pPr>
      <w:r>
        <w:t xml:space="preserve">Market Opportunity &amp; Revenue</w:t>
      </w:r>
    </w:p>
    <w:p>
      <w:r>
        <w:rPr>
          <w:b/>
          <w:bCs/>
        </w:rPr>
        <w:t xml:space="preserve">TAM: $5B</w:t>
      </w:r>
      <w:r>
        <w:t xml:space="preserve"> (component tracking &amp; certification within $90B MRO market)</w:t>
      </w:r>
    </w:p>
    <w:p>
      <w:pPr>
        <w:spacing w:after="120"/>
      </w:pPr>
      <w:r>
        <w:t xml:space="preserve"/>
      </w:r>
    </w:p>
    <w:p>
      <w:pPr>
        <w:spacing w:after="60"/>
      </w:pPr>
      <w:r>
        <w:rPr>
          <w:b/>
          <w:bCs/>
        </w:rPr>
        <w:t xml:space="preserve">Revenue Model:</w:t>
      </w:r>
    </w:p>
    <w:p>
      <w:pPr>
        <w:spacing w:after="120"/>
      </w:pPr>
      <text>SaaS subscription: $2–5 per component per year</text>
      <text>Event-based: $10–25 per maintenance event (overhaul, repair, certification)</text>
      <text>Enterprise: Custom licensing for OEMs and large MRO chains</text>
    </w:p>
    <w:p>
      <w:pPr>
        <w:spacing w:after="60"/>
      </w:pPr>
      <w:r>
        <w:rPr>
          <w:b/>
          <w:bCs/>
        </w:rPr>
        <w:t xml:space="preserve">5-Year Projection:</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340"/>
        <w:gridCol w:w="1404"/>
        <w:gridCol w:w="1404"/>
        <w:gridCol w:w="1404"/>
        <w:gridCol w:w="1404"/>
        <w:gridCol w:w="1404"/>
      </w:tblGrid>
      <w:tr>
        <w:tc>
          <w:tcPr>
            <w:tcW w:type="dxa" w:w="2340"/>
            <w:tcBorders>
              <w:top w:val="single" w:color="CCCCCC" w:sz="1"/>
              <w:left w:val="single" w:color="CCCCCC" w:sz="1"/>
              <w:bottom w:val="single" w:color="CCCCCC" w:sz="1"/>
              <w:right w:val="single" w:color="CCCCCC" w:sz="1"/>
            </w:tcBorders>
            <w:shd w:fill="D5E8F0" w:val="clear"/>
          </w:tcPr>
          <w:p>
            <w:r>
              <w:t xml:space="preserve">Metric</w:t>
            </w:r>
          </w:p>
        </w:tc>
        <w:tc>
          <w:tcPr>
            <w:tcW w:type="dxa" w:w="1404"/>
            <w:tcBorders>
              <w:top w:val="single" w:color="CCCCCC" w:sz="1"/>
              <w:left w:val="single" w:color="CCCCCC" w:sz="1"/>
              <w:bottom w:val="single" w:color="CCCCCC" w:sz="1"/>
              <w:right w:val="single" w:color="CCCCCC" w:sz="1"/>
            </w:tcBorders>
            <w:shd w:fill="D5E8F0" w:val="clear"/>
          </w:tcPr>
          <w:p>
            <w:r>
              <w:t xml:space="preserve">Y1</w:t>
            </w:r>
          </w:p>
        </w:tc>
        <w:tc>
          <w:tcPr>
            <w:tcW w:type="dxa" w:w="1404"/>
            <w:tcBorders>
              <w:top w:val="single" w:color="CCCCCC" w:sz="1"/>
              <w:left w:val="single" w:color="CCCCCC" w:sz="1"/>
              <w:bottom w:val="single" w:color="CCCCCC" w:sz="1"/>
              <w:right w:val="single" w:color="CCCCCC" w:sz="1"/>
            </w:tcBorders>
            <w:shd w:fill="D5E8F0" w:val="clear"/>
          </w:tcPr>
          <w:p>
            <w:r>
              <w:t xml:space="preserve">Y2</w:t>
            </w:r>
          </w:p>
        </w:tc>
        <w:tc>
          <w:tcPr>
            <w:tcW w:type="dxa" w:w="1404"/>
            <w:tcBorders>
              <w:top w:val="single" w:color="CCCCCC" w:sz="1"/>
              <w:left w:val="single" w:color="CCCCCC" w:sz="1"/>
              <w:bottom w:val="single" w:color="CCCCCC" w:sz="1"/>
              <w:right w:val="single" w:color="CCCCCC" w:sz="1"/>
            </w:tcBorders>
            <w:shd w:fill="D5E8F0" w:val="clear"/>
          </w:tcPr>
          <w:p>
            <w:r>
              <w:t xml:space="preserve">Y3</w:t>
            </w:r>
          </w:p>
        </w:tc>
        <w:tc>
          <w:tcPr>
            <w:tcW w:type="dxa" w:w="1404"/>
            <w:tcBorders>
              <w:top w:val="single" w:color="CCCCCC" w:sz="1"/>
              <w:left w:val="single" w:color="CCCCCC" w:sz="1"/>
              <w:bottom w:val="single" w:color="CCCCCC" w:sz="1"/>
              <w:right w:val="single" w:color="CCCCCC" w:sz="1"/>
            </w:tcBorders>
            <w:shd w:fill="D5E8F0" w:val="clear"/>
          </w:tcPr>
          <w:p>
            <w:r>
              <w:t xml:space="preserve">Y4</w:t>
            </w:r>
          </w:p>
        </w:tc>
        <w:tc>
          <w:tcPr>
            <w:tcW w:type="dxa" w:w="1404"/>
            <w:tcBorders>
              <w:top w:val="single" w:color="CCCCCC" w:sz="1"/>
              <w:left w:val="single" w:color="CCCCCC" w:sz="1"/>
              <w:bottom w:val="single" w:color="CCCCCC" w:sz="1"/>
              <w:right w:val="single" w:color="CCCCCC" w:sz="1"/>
            </w:tcBorders>
            <w:shd w:fill="D5E8F0" w:val="clear"/>
          </w:tcPr>
          <w:p>
            <w:r>
              <w:t xml:space="preserve">Y5</w:t>
            </w:r>
          </w:p>
        </w:tc>
      </w:tr>
      <w:tr>
        <w:tc>
          <w:tcPr>
            <w:tcW w:type="dxa" w:w="2340"/>
            <w:tcBorders>
              <w:top w:val="single" w:color="CCCCCC" w:sz="1"/>
              <w:left w:val="single" w:color="CCCCCC" w:sz="1"/>
              <w:bottom w:val="single" w:color="CCCCCC" w:sz="1"/>
              <w:right w:val="single" w:color="CCCCCC" w:sz="1"/>
            </w:tcBorders>
          </w:tcPr>
          <w:p>
            <w:r>
              <w:t xml:space="preserve">ARR ($K)</w:t>
            </w:r>
          </w:p>
        </w:tc>
        <w:tc>
          <w:tcPr>
            <w:tcW w:type="dxa" w:w="1404"/>
            <w:tcBorders>
              <w:top w:val="single" w:color="CCCCCC" w:sz="1"/>
              <w:left w:val="single" w:color="CCCCCC" w:sz="1"/>
              <w:bottom w:val="single" w:color="CCCCCC" w:sz="1"/>
              <w:right w:val="single" w:color="CCCCCC" w:sz="1"/>
            </w:tcBorders>
          </w:tcPr>
          <w:p>
            <w:r>
              <w:t xml:space="preserve">$300</w:t>
            </w:r>
          </w:p>
        </w:tc>
        <w:tc>
          <w:tcPr>
            <w:tcW w:type="dxa" w:w="1404"/>
            <w:tcBorders>
              <w:top w:val="single" w:color="CCCCCC" w:sz="1"/>
              <w:left w:val="single" w:color="CCCCCC" w:sz="1"/>
              <w:bottom w:val="single" w:color="CCCCCC" w:sz="1"/>
              <w:right w:val="single" w:color="CCCCCC" w:sz="1"/>
            </w:tcBorders>
          </w:tcPr>
          <w:p>
            <w:r>
              <w:t xml:space="preserve">$2,500</w:t>
            </w:r>
          </w:p>
        </w:tc>
        <w:tc>
          <w:tcPr>
            <w:tcW w:type="dxa" w:w="1404"/>
            <w:tcBorders>
              <w:top w:val="single" w:color="CCCCCC" w:sz="1"/>
              <w:left w:val="single" w:color="CCCCCC" w:sz="1"/>
              <w:bottom w:val="single" w:color="CCCCCC" w:sz="1"/>
              <w:right w:val="single" w:color="CCCCCC" w:sz="1"/>
            </w:tcBorders>
          </w:tcPr>
          <w:p>
            <w:r>
              <w:t xml:space="preserve">$8,500</w:t>
            </w:r>
          </w:p>
        </w:tc>
        <w:tc>
          <w:tcPr>
            <w:tcW w:type="dxa" w:w="1404"/>
            <w:tcBorders>
              <w:top w:val="single" w:color="CCCCCC" w:sz="1"/>
              <w:left w:val="single" w:color="CCCCCC" w:sz="1"/>
              <w:bottom w:val="single" w:color="CCCCCC" w:sz="1"/>
              <w:right w:val="single" w:color="CCCCCC" w:sz="1"/>
            </w:tcBorders>
          </w:tcPr>
          <w:p>
            <w:r>
              <w:t xml:space="preserve">$22,000</w:t>
            </w:r>
          </w:p>
        </w:tc>
        <w:tc>
          <w:tcPr>
            <w:tcW w:type="dxa" w:w="1404"/>
            <w:tcBorders>
              <w:top w:val="single" w:color="CCCCCC" w:sz="1"/>
              <w:left w:val="single" w:color="CCCCCC" w:sz="1"/>
              <w:bottom w:val="single" w:color="CCCCCC" w:sz="1"/>
              <w:right w:val="single" w:color="CCCCCC" w:sz="1"/>
            </w:tcBorders>
          </w:tcPr>
          <w:p>
            <w:r>
              <w:t xml:space="preserve">$35,000</w:t>
            </w:r>
          </w:p>
        </w:tc>
      </w:tr>
      <w:tr>
        <w:tc>
          <w:tcPr>
            <w:tcW w:type="dxa" w:w="2340"/>
            <w:tcBorders>
              <w:top w:val="single" w:color="CCCCCC" w:sz="1"/>
              <w:left w:val="single" w:color="CCCCCC" w:sz="1"/>
              <w:bottom w:val="single" w:color="CCCCCC" w:sz="1"/>
              <w:right w:val="single" w:color="CCCCCC" w:sz="1"/>
            </w:tcBorders>
          </w:tcPr>
          <w:p>
            <w:r>
              <w:t xml:space="preserve">Components</w:t>
            </w:r>
          </w:p>
        </w:tc>
        <w:tc>
          <w:tcPr>
            <w:tcW w:type="dxa" w:w="1404"/>
            <w:tcBorders>
              <w:top w:val="single" w:color="CCCCCC" w:sz="1"/>
              <w:left w:val="single" w:color="CCCCCC" w:sz="1"/>
              <w:bottom w:val="single" w:color="CCCCCC" w:sz="1"/>
              <w:right w:val="single" w:color="CCCCCC" w:sz="1"/>
            </w:tcBorders>
          </w:tcPr>
          <w:p>
            <w:r>
              <w:t xml:space="preserve">500</w:t>
            </w:r>
          </w:p>
        </w:tc>
        <w:tc>
          <w:tcPr>
            <w:tcW w:type="dxa" w:w="1404"/>
            <w:tcBorders>
              <w:top w:val="single" w:color="CCCCCC" w:sz="1"/>
              <w:left w:val="single" w:color="CCCCCC" w:sz="1"/>
              <w:bottom w:val="single" w:color="CCCCCC" w:sz="1"/>
              <w:right w:val="single" w:color="CCCCCC" w:sz="1"/>
            </w:tcBorders>
          </w:tcPr>
          <w:p>
            <w:r>
              <w:t xml:space="preserve">5K</w:t>
            </w:r>
          </w:p>
        </w:tc>
        <w:tc>
          <w:tcPr>
            <w:tcW w:type="dxa" w:w="1404"/>
            <w:tcBorders>
              <w:top w:val="single" w:color="CCCCCC" w:sz="1"/>
              <w:left w:val="single" w:color="CCCCCC" w:sz="1"/>
              <w:bottom w:val="single" w:color="CCCCCC" w:sz="1"/>
              <w:right w:val="single" w:color="CCCCCC" w:sz="1"/>
            </w:tcBorders>
          </w:tcPr>
          <w:p>
            <w:r>
              <w:t xml:space="preserve">20K</w:t>
            </w:r>
          </w:p>
        </w:tc>
        <w:tc>
          <w:tcPr>
            <w:tcW w:type="dxa" w:w="1404"/>
            <w:tcBorders>
              <w:top w:val="single" w:color="CCCCCC" w:sz="1"/>
              <w:left w:val="single" w:color="CCCCCC" w:sz="1"/>
              <w:bottom w:val="single" w:color="CCCCCC" w:sz="1"/>
              <w:right w:val="single" w:color="CCCCCC" w:sz="1"/>
            </w:tcBorders>
          </w:tcPr>
          <w:p>
            <w:r>
              <w:t xml:space="preserve">50K</w:t>
            </w:r>
          </w:p>
        </w:tc>
        <w:tc>
          <w:tcPr>
            <w:tcW w:type="dxa" w:w="1404"/>
            <w:tcBorders>
              <w:top w:val="single" w:color="CCCCCC" w:sz="1"/>
              <w:left w:val="single" w:color="CCCCCC" w:sz="1"/>
              <w:bottom w:val="single" w:color="CCCCCC" w:sz="1"/>
              <w:right w:val="single" w:color="CCCCCC" w:sz="1"/>
            </w:tcBorders>
          </w:tcPr>
          <w:p>
            <w:r>
              <w:t xml:space="preserve">100K+</w:t>
            </w:r>
          </w:p>
        </w:tc>
      </w:tr>
    </w:tbl>
    <w:p>
      <w:pPr>
        <w:spacing w:after="240"/>
      </w:pPr>
      <w:r>
        <w:t xml:space="preserve"/>
      </w:r>
    </w:p>
    <w:p>
      <w:pPr>
        <w:pStyle w:val="Heading1"/>
      </w:pPr>
      <w:r>
        <w:t xml:space="preserve">Use of Funds ($500K, 18-Month Runway)</w:t>
      </w:r>
    </w:p>
    <w:p>
      <w:pPr>
        <w:pStyle w:val="ListParagraph"/>
        <w:numPr>
          <w:ilvl w:val="0"/>
          <w:numId w:val="2"/>
        </w:numPr>
        <w:spacing w:after="60"/>
      </w:pPr>
      <text>Product &amp; Engineering (45%, $225K)</text>
      <w:r>
        <w:t xml:space="preserve">: Smart contract development (FAA/EASA rule encoding), DUAL ledger integration, MVP UI/UX, testing &amp; security audit</w:t>
      </w:r>
    </w:p>
    <w:p>
      <w:pPr>
        <w:pStyle w:val="ListParagraph"/>
        <w:numPr>
          <w:ilvl w:val="0"/>
          <w:numId w:val="2"/>
        </w:numPr>
        <w:spacing w:after="60"/>
      </w:pPr>
      <text>Sales &amp; Partnerships (25%, $125K)</text>
      <w:r>
        <w:t xml:space="preserve">: OEM business development, MRO certification programs, pilot agreements, FBO channel setup</w:t>
      </w:r>
    </w:p>
    <w:p>
      <w:pPr>
        <w:pStyle w:val="ListParagraph"/>
        <w:numPr>
          <w:ilvl w:val="0"/>
          <w:numId w:val="2"/>
        </w:numPr>
        <w:spacing w:after="60"/>
      </w:pPr>
      <text>Regulatory &amp; Legal (15%, $75K)</text>
      <w:r>
        <w:t xml:space="preserve">: FAA advisory board engagement, EASA pathway, IP protection (patents), compliance documentation</w:t>
      </w:r>
    </w:p>
    <w:p>
      <w:pPr>
        <w:pStyle w:val="ListParagraph"/>
        <w:numPr>
          <w:ilvl w:val="0"/>
          <w:numId w:val="2"/>
        </w:numPr>
        <w:spacing w:after="240"/>
      </w:pPr>
      <text>Operations (15%, $75K)</text>
      <w:r>
        <w:t xml:space="preserve">: Team hiring, infrastructure (cloud, DUAL nodes), insurance, marketing &amp; events</w:t>
      </w:r>
    </w:p>
    <w:p>
      <w:pPr>
        <w:pStyle w:val="Heading1"/>
      </w:pPr>
      <w:r>
        <w:t xml:space="preserve">Next Steps</w:t>
      </w:r>
    </w:p>
    <w:p>
      <w:pPr>
        <w:spacing w:after="60"/>
      </w:pPr>
      <w:r>
        <w:t xml:space="preserve">Upon closing, AeroMaint™ will execute the following within 30 days:</w:t>
      </w:r>
    </w:p>
    <w:p>
      <w:pPr>
        <w:spacing w:after="240"/>
      </w:pPr>
      <text>Lock 2 OEM pilots (signed MOUs with Goodrich and Cirrus)</text>
      <text>Begin smart contract development (FAA Part 43 rules + EASA equivalents)</text>
      <text>Establish FAA pre-submission meeting to validate regulatory approach</text>
      <text>Hire VP Engineering and Sales Lead</text>
    </w:p>
    <w:p>
      <w:r>
        <w:t xml:space="preserve">We look forward to discussing how AeroMaint™ can transform aviation compliance and unlock significant investor returns in the high-growth MRO market.</w:t>
      </w:r>
    </w:p>
    <w:sectPr>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20" w:before="240"/>
      <w:outlineLvl w:val="0"/>
    </w:pPr>
    <w:rPr>
      <w:rFonts w:ascii="Arial" w:cs="Arial" w:eastAsia="Arial" w:hAnsi="Arial"/>
      <w:b/>
      <w:bCs/>
      <w:color w:val="1E293B"/>
      <w:sz w:val="32"/>
      <w:szCs w:val="32"/>
    </w:rPr>
  </w:style>
  <w:style w:type="paragraph" w:styleId="Heading2">
    <w:name w:val="Heading 2"/>
    <w:basedOn w:val="Normal"/>
    <w:next w:val="Normal"/>
    <w:qFormat/>
    <w:pPr>
      <w:spacing w:after="100" w:before="180"/>
      <w:outlineLvl w:val="1"/>
    </w:pPr>
    <w:rPr>
      <w:rFonts w:ascii="Arial" w:cs="Arial" w:eastAsia="Arial" w:hAnsi="Arial"/>
      <w:b/>
      <w:bCs/>
      <w:color w:val="475569"/>
      <w:sz w:val="28"/>
      <w:szCs w:val="28"/>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2026-04-01T08:59:57.287Z</dcterms:created>
  <dcterms:modified xsi:type="dcterms:W3CDTF">2026-04-01T08:59:57.287Z</dcterms:modified>
</cp:coreProperties>
</file>

<file path=docProps/custom.xml><?xml version="1.0" encoding="utf-8"?>
<Properties xmlns="http://schemas.openxmlformats.org/officeDocument/2006/custom-properties" xmlns:vt="http://schemas.openxmlformats.org/officeDocument/2006/docPropsVTypes"/>
</file>