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2"/>
          <w:szCs w:val="32"/>
        </w:rPr>
        <w:t xml:space="preserve">AquaAlloc™ — Water Rights Transfer Platform</w:t>
      </w:r>
    </w:p>
    <w:p>
      <w:pPr>
        <w:spacing w:after="240"/>
        <w:jc w:val="center"/>
      </w:pPr>
      <w:r>
        <w:rPr>
          <w:sz w:val="24"/>
          <w:szCs w:val="24"/>
        </w:rPr>
        <w:t xml:space="preserve">Pre-Seed Investment Memo</w:t>
      </w:r>
    </w:p>
    <w:p>
      <w:pPr>
        <w:pStyle w:val="Heading1"/>
      </w:pPr>
      <w:r>
        <w:t xml:space="preserve">Executive Summary</w:t>
      </w:r>
    </w:p>
    <w:p>
      <w:r>
        <w:t xml:space="preserve">AquaAlloc™ is a compliance-first SaaS platform for water rights transfers. We digitize allocation tracking, approval workflows, and regulatory compliance for water authorities, brokers, and agricultural users across regulated water markets like Colorado and the Murray-Darling Basin in Australia.</w:t>
      </w:r>
    </w:p>
    <w:p>
      <w:r>
        <w:t xml:space="preserve">We are raising $500K in pre-seed funding to launch our MVP with 1–3 pilot water districts, validating the product before Series A.</w:t>
      </w:r>
    </w:p>
    <w:p>
      <w:pPr>
        <w:pStyle w:val="Heading1"/>
      </w:pPr>
      <w:r>
        <w:t xml:space="preserve">The Problem</w:t>
      </w:r>
    </w:p>
    <w:p>
      <w:r>
        <w:t xml:space="preserve">Water markets globally are fragmented, manual, and opaque:</w:t>
      </w:r>
    </w:p>
    <w:p>
      <w:pPr>
        <w:pStyle w:val="ListParagraph"/>
        <w:numPr>
          <w:ilvl w:val="0"/>
          <w:numId w:val="2"/>
        </w:numPr>
      </w:pPr>
      <w:r>
        <w:t xml:space="preserve">$3B+ annual water trading happens with paper forms, fax submissions, and 6–8 week approval cycles.</w:t>
      </w:r>
    </w:p>
    <w:p>
      <w:pPr>
        <w:pStyle w:val="ListParagraph"/>
        <w:numPr>
          <w:ilvl w:val="0"/>
          <w:numId w:val="2"/>
        </w:numPr>
      </w:pPr>
      <w:r>
        <w:t xml:space="preserve">Each jurisdiction (state, basin authority) has different compliance rules—no standardization.</w:t>
      </w:r>
    </w:p>
    <w:p>
      <w:pPr>
        <w:pStyle w:val="ListParagraph"/>
        <w:numPr>
          <w:ilvl w:val="0"/>
          <w:numId w:val="2"/>
        </w:numPr>
      </w:pPr>
      <w:r>
        <w:t xml:space="preserve">Water brokers spend 5–10 hours per trade on documentation. Water authorities lack real-time audit trails.</w:t>
      </w:r>
    </w:p>
    <w:p>
      <w:pPr>
        <w:pStyle w:val="ListParagraph"/>
        <w:numPr>
          <w:ilvl w:val="0"/>
          <w:numId w:val="2"/>
        </w:numPr>
      </w:pPr>
      <w:r>
        <w:t xml:space="preserve">No platform exists to link buyers, sellers, approvers, and regulators in a single digital workflow.</w:t>
      </w:r>
    </w:p>
    <w:p>
      <w:pPr>
        <w:pStyle w:val="Heading1"/>
      </w:pPr>
      <w:r>
        <w:t xml:space="preserve">The Solution</w:t>
      </w:r>
    </w:p>
    <w:p>
      <w:r>
        <w:t xml:space="preserve">AquaAlloc provides a single, geo-bound platform for water rights transfers:</w:t>
      </w:r>
    </w:p>
    <w:p>
      <w:pPr>
        <w:pStyle w:val="ListParagraph"/>
        <w:numPr>
          <w:ilvl w:val="0"/>
          <w:numId w:val="2"/>
        </w:numPr>
      </w:pPr>
      <w:r>
        <w:t xml:space="preserve">Real-time allocation ledger: Track all water rights, usage, and transfers in one place.</w:t>
      </w:r>
    </w:p>
    <w:p>
      <w:pPr>
        <w:pStyle w:val="ListParagraph"/>
        <w:numPr>
          <w:ilvl w:val="0"/>
          <w:numId w:val="2"/>
        </w:numPr>
      </w:pPr>
      <w:r>
        <w:t xml:space="preserve">One-click approvals: Automated state compliance checks, instant regulatory filing.</w:t>
      </w:r>
    </w:p>
    <w:p>
      <w:pPr>
        <w:pStyle w:val="ListParagraph"/>
        <w:numPr>
          <w:ilvl w:val="0"/>
          <w:numId w:val="2"/>
        </w:numPr>
      </w:pPr>
      <w:r>
        <w:t xml:space="preserve">Audit trail: Immutable compliance ledger for regulators and stakeholders.</w:t>
      </w:r>
    </w:p>
    <w:p>
      <w:pPr>
        <w:pStyle w:val="ListParagraph"/>
        <w:numPr>
          <w:ilvl w:val="0"/>
          <w:numId w:val="2"/>
        </w:numPr>
      </w:pPr>
      <w:r>
        <w:t xml:space="preserve">State-specific modules: Configurable for Colorado, Murray-Darling, California, or any water market.</w:t>
      </w:r>
    </w:p>
    <w:p>
      <w:pPr>
        <w:pStyle w:val="Heading1"/>
      </w:pPr>
      <w:r>
        <w:t xml:space="preserve">Market Opportunity</w:t>
      </w:r>
    </w:p>
    <w:p>
      <w:r>
        <w:t xml:space="preserve">Water trading: $3B annually (Colorado RDO, Murray-Darling Basin Plan).</w:t>
      </w:r>
    </w:p>
    <w:p>
      <w:r>
        <w:t xml:space="preserve">Water management software: $20B+ TAM (ERP, compliance, IoT monitoring).</w:t>
      </w:r>
    </w:p>
    <w:p>
      <w:r>
        <w:t xml:space="preserve">Initial TAM: 50+ regulated water districts globally, paying $120K–500K/year in ops costs.</w:t>
      </w:r>
    </w:p>
    <w:p>
      <w:r>
        <w:t xml:space="preserve">Expansion paths: Groundwater trading, interstate transfers, climate adaptation markets.</w:t>
      </w:r>
    </w:p>
    <w:p>
      <w:pPr>
        <w:pStyle w:val="Heading1"/>
      </w:pPr>
      <w:r>
        <w:t xml:space="preserve">Business Model</w:t>
      </w:r>
    </w:p>
    <w:p>
      <w:r>
        <w:t xml:space="preserve">Dual revenue streams:</w:t>
      </w:r>
    </w:p>
    <w:p>
      <w:pPr>
        <w:pStyle w:val="ListParagraph"/>
        <w:numPr>
          <w:ilvl w:val="0"/>
          <w:numId w:val="2"/>
        </w:numPr>
      </w:pPr>
      <w:r>
        <w:t xml:space="preserve">Transfer fee: 0.5–1% on each trade (avg $250K transfer = $1.25K–2.5K per transaction).</w:t>
      </w:r>
    </w:p>
    <w:p>
      <w:pPr>
        <w:pStyle w:val="ListParagraph"/>
        <w:numPr>
          <w:ilvl w:val="0"/>
          <w:numId w:val="2"/>
        </w:numPr>
      </w:pPr>
      <w:r>
        <w:t xml:space="preserve">SaaS subscription: $5K–15K/month per water authority (8–10 contracts = $40K–150K ARR).</w:t>
      </w:r>
    </w:p>
    <w:p>
      <w:r>
        <w:t xml:space="preserve">Year 1: 15 active users, 8 transfers/user = $31K ARR.</w:t>
      </w:r>
    </w:p>
    <w:p>
      <w:r>
        <w:t xml:space="preserve">Year 5: 130+ water authorities, $30M+ ARR, 50%+ EBITDA margins.</w:t>
      </w:r>
    </w:p>
    <w:p>
      <w:pPr>
        <w:pStyle w:val="Heading1"/>
      </w:pPr>
      <w:r>
        <w:t xml:space="preserve">MVP &amp; Go-to-Market</w:t>
      </w:r>
    </w:p>
    <w:p>
      <w:r>
        <w:t xml:space="preserve">Pilot strategy:</w:t>
      </w:r>
    </w:p>
    <w:p>
      <w:pPr>
        <w:pStyle w:val="ListParagraph"/>
        <w:numPr>
          <w:ilvl w:val="0"/>
          <w:numId w:val="2"/>
        </w:numPr>
      </w:pPr>
      <w:r>
        <w:t xml:space="preserve">Single water district MVP (Colorado River District or Murray-Darling Basin Authority).</w:t>
      </w:r>
    </w:p>
    <w:p>
      <w:pPr>
        <w:pStyle w:val="ListParagraph"/>
        <w:numPr>
          <w:ilvl w:val="0"/>
          <w:numId w:val="2"/>
        </w:numPr>
      </w:pPr>
      <w:r>
        <w:t xml:space="preserve">Manual approval backend, digital compliance ledger (blockchain optional for Phase 2).</w:t>
      </w:r>
    </w:p>
    <w:p>
      <w:pPr>
        <w:pStyle w:val="ListParagraph"/>
        <w:numPr>
          <w:ilvl w:val="0"/>
          <w:numId w:val="2"/>
        </w:numPr>
      </w:pPr>
      <w:r>
        <w:t xml:space="preserve">Launch with 3–5 pilot customers by Q3 2026.</w:t>
      </w:r>
    </w:p>
    <w:p>
      <w:pPr>
        <w:pStyle w:val="ListParagraph"/>
        <w:numPr>
          <w:ilvl w:val="0"/>
          <w:numId w:val="2"/>
        </w:numPr>
      </w:pPr>
      <w:r>
        <w:t xml:space="preserve">Expand to adjacent districts &amp; states in Year 2.</w:t>
      </w:r>
    </w:p>
    <w:p>
      <w:pPr>
        <w:pStyle w:val="Heading1"/>
      </w:pPr>
      <w:r>
        <w:t xml:space="preserve">Use of Funds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c>
          <w:tcPr>
            <w:tcW w:type="dxa" w:w="70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r>
              <w:rPr>
                <w:b/>
                <w:bCs/>
                <w:color w:val="FFFFFF"/>
              </w:rPr>
              <w:t xml:space="preserve">Use</w:t>
            </w:r>
          </w:p>
        </w:tc>
        <w:tc>
          <w:tcPr>
            <w:tcW w:type="dxa" w:w="236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r>
              <w:rPr>
                <w:b/>
                <w:bCs/>
                <w:color w:val="FFFFFF"/>
              </w:rPr>
              <w:t xml:space="preserve">Amount</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Engineering (4 engineers)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$200K</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Go-to-market &amp; Sales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$150K</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Compliance &amp; Legal</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$100K</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Operations &amp; Runway</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$50K</w:t>
            </w:r>
          </w:p>
        </w:tc>
      </w:tr>
    </w:tbl>
    <w:p>
      <w:pPr>
        <w:spacing w:before="240"/>
      </w:pPr>
      <w:r>
        <w:t xml:space="preserve"/>
      </w:r>
    </w:p>
    <w:p>
      <w:pPr>
        <w:pStyle w:val="Heading1"/>
      </w:pPr>
      <w:r>
        <w:t xml:space="preserve">Why AquaAlloc Will Win</w:t>
      </w:r>
    </w:p>
    <w:p>
      <w:pPr>
        <w:pStyle w:val="ListParagraph"/>
        <w:numPr>
          <w:ilvl w:val="0"/>
          <w:numId w:val="2"/>
        </w:numPr>
      </w:pPr>
      <w:r>
        <w:t xml:space="preserve">First-mover: Only platform purpose-built for water rights compliance.</w:t>
      </w:r>
    </w:p>
    <w:p>
      <w:pPr>
        <w:pStyle w:val="ListParagraph"/>
        <w:numPr>
          <w:ilvl w:val="0"/>
          <w:numId w:val="2"/>
        </w:numPr>
      </w:pPr>
      <w:r>
        <w:t xml:space="preserve">Regulatory moat: Deep expertise with water authorities = trust, fast approvals.</w:t>
      </w:r>
    </w:p>
    <w:p>
      <w:pPr>
        <w:pStyle w:val="ListParagraph"/>
        <w:numPr>
          <w:ilvl w:val="0"/>
          <w:numId w:val="2"/>
        </w:numPr>
      </w:pPr>
      <w:r>
        <w:t xml:space="preserve">Sticky customer base: Once adopted, switching costs are high (all historical data).</w:t>
      </w:r>
    </w:p>
    <w:p>
      <w:pPr>
        <w:pStyle w:val="ListParagraph"/>
        <w:numPr>
          <w:ilvl w:val="0"/>
          <w:numId w:val="2"/>
        </w:numPr>
      </w:pPr>
      <w:r>
        <w:t xml:space="preserve">Expanding TAM: Climate change &amp; drought = rising urgency for water trading.</w:t>
      </w:r>
    </w:p>
    <w:p>
      <w:pPr>
        <w:pStyle w:val="Heading1"/>
      </w:pPr>
      <w:r>
        <w:t xml:space="preserve">Key Milestones</w:t>
      </w:r>
    </w:p>
    <w:p>
      <w:pPr>
        <w:pStyle w:val="ListParagraph"/>
        <w:numPr>
          <w:ilvl w:val="0"/>
          <w:numId w:val="3"/>
        </w:numPr>
      </w:pPr>
      <w:r>
        <w:t xml:space="preserve">Q2 2026: Pilot launch with Colorado River District.</w:t>
      </w:r>
    </w:p>
    <w:p>
      <w:pPr>
        <w:pStyle w:val="ListParagraph"/>
        <w:numPr>
          <w:ilvl w:val="0"/>
          <w:numId w:val="3"/>
        </w:numPr>
      </w:pPr>
      <w:r>
        <w:t xml:space="preserve">Q3 2026: 3–5 pilot customers, $15K ARR, initial case studies.</w:t>
      </w:r>
    </w:p>
    <w:p>
      <w:pPr>
        <w:pStyle w:val="ListParagraph"/>
        <w:numPr>
          <w:ilvl w:val="0"/>
          <w:numId w:val="3"/>
        </w:numPr>
      </w:pPr>
      <w:r>
        <w:t xml:space="preserve">Q4 2026: Expand to second water market (Murray-Darling or California).</w:t>
      </w:r>
    </w:p>
    <w:p>
      <w:pPr>
        <w:pStyle w:val="ListParagraph"/>
        <w:numPr>
          <w:ilvl w:val="0"/>
          <w:numId w:val="3"/>
        </w:numPr>
      </w:pPr>
      <w:r>
        <w:t xml:space="preserve">Q1 2027: Path to $50K ARR, Series A readiness.</w:t>
      </w:r>
    </w:p>
    <w:p>
      <w:pPr>
        <w:pStyle w:val="Heading1"/>
        <w:spacing w:before="240"/>
      </w:pPr>
      <w:r>
        <w:t xml:space="preserve">Conclusion</w:t>
      </w:r>
    </w:p>
    <w:p>
      <w:r>
        <w:t xml:space="preserve">Water rights trading is a $3B market with zero digital infrastructure. AquaAlloc is built to own this space, starting with a pilot in the world's most regulated water market (Colorado), and scaling to $30M+ ARR within 5 years. We're seeking $500K pre-seed to validate the product and begin the path to Series A.</w:t>
      </w:r>
    </w:p>
    <w:p>
      <w:pPr>
        <w:spacing w:before="240"/>
      </w:pPr>
      <w:r>
        <w:t xml:space="preserve"/>
      </w:r>
    </w:p>
    <w:p>
      <w:r>
        <w:t xml:space="preserve">Contact: hello@aquaalloc.io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D1B2A"/>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D1B2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2026-04-01T10:15:14.661Z</dcterms:created>
  <dcterms:modified xsi:type="dcterms:W3CDTF">2026-04-01T10:15:14.661Z</dcterms:modified>
</cp:coreProperties>
</file>

<file path=docProps/custom.xml><?xml version="1.0" encoding="utf-8"?>
<Properties xmlns="http://schemas.openxmlformats.org/officeDocument/2006/custom-properties" xmlns:vt="http://schemas.openxmlformats.org/officeDocument/2006/docPropsVTypes"/>
</file>