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right"/>
      </w:pPr>
      <w:r>
        <w:rPr>
          <w:b/>
          <w:bCs/>
          <w:color w:val="EF4444"/>
        </w:rPr>
        <w:t xml:space="preserve">CONFIDENTIAL</w:t>
      </w:r>
    </w:p>
    <w:p>
      <w:pPr>
        <w:spacing w:after="120"/>
      </w:pPr>
      <w:r>
        <w:rPr>
          <w:b/>
          <w:bCs/>
          <w:color w:val="1E293B"/>
          <w:sz w:val="36"/>
          <w:szCs w:val="36"/>
        </w:rPr>
        <w:t xml:space="preserve">AutoChain™ Pre-Seed Executive Memo</w:t>
      </w:r>
    </w:p>
    <w:p>
      <w:pPr>
        <w:spacing w:after="240"/>
      </w:pPr>
      <w:r>
        <w:rPr>
          <w:color w:val="64748B"/>
          <w:sz w:val="22"/>
          <w:szCs w:val="22"/>
        </w:rPr>
        <w:t xml:space="preserve">Warranty Claim Validation Ledger for Automotive OEM Networks</w:t>
      </w:r>
    </w:p>
    <w:p>
      <w:pPr>
        <w:pStyle w:val="Heading1"/>
      </w:pPr>
      <w:r>
        <w:t xml:space="preserve">Investment Overview</w:t>
      </w:r>
    </w:p>
    <w:p>
      <w:r>
        <w:t xml:space="preserve">AutoChain is a DUAL-native blockchain solution tokenizing warranty claim validation across OEM dealer networks. We address a $6B automotive warranty fraud market by introducing OEM-signed part serialization, real-time claim state validation, and automatic compliance enforcement.</w:t>
      </w:r>
    </w:p>
    <w:p>
      <w:r>
        <w:t xml:space="preserve">Target Investors: Early-stage automotive, blockchain, and warranty fintech VCs</w:t>
      </w:r>
    </w:p>
    <w:p>
      <w:r>
        <w:rPr>
          <w:b/>
          <w:bCs/>
        </w:rPr>
        <w:t xml:space="preserve">Ask: </w:t>
      </w:r>
      <w:r>
        <w:t xml:space="preserve">$500K pre-seed | 18-month runway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The Problem</w:t>
      </w:r>
    </w:p>
    <w:p>
      <w:r/>
    </w:p>
    <w:p>
      <w:pPr>
        <w:pStyle w:val="ListParagraph"/>
        <w:numPr>
          <w:ilvl w:val="0"/>
          <w:numId w:val="2"/>
        </w:numPr>
      </w:pPr>
      <w:r>
        <w:t xml:space="preserve">No serialization: Parts lack OEM cryptographic signatures, enabling counterfeit substitution</w:t>
      </w:r>
    </w:p>
    <w:p>
      <w:pPr>
        <w:pStyle w:val="ListParagraph"/>
        <w:numPr>
          <w:ilvl w:val="0"/>
          <w:numId w:val="2"/>
        </w:numPr>
      </w:pPr>
      <w:r>
        <w:t xml:space="preserve">Fragmented claims: Manual processing across isolated OEM warranty systems—slow, error-prone, audit-weak</w:t>
      </w:r>
    </w:p>
    <w:p>
      <w:pPr>
        <w:pStyle w:val="ListParagraph"/>
        <w:numPr>
          <w:ilvl w:val="0"/>
          <w:numId w:val="2"/>
        </w:numPr>
      </w:pPr>
      <w:r>
        <w:t xml:space="preserve">Trust deficits: Dealers, suppliers, and OEMs operate in silos; no shared validation ledger</w:t>
      </w:r>
    </w:p>
    <w:p>
      <w:pPr>
        <w:pStyle w:val="ListParagraph"/>
        <w:numPr>
          <w:ilvl w:val="0"/>
          <w:numId w:val="2"/>
        </w:numPr>
      </w:pPr>
      <w:r>
        <w:t xml:space="preserve">Compliance gaps: Warranty regulations (Magnuson-Moss, state laws, NHTSA oversight) enforced manually or inconsistently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The Solution</w:t>
      </w:r>
    </w:p>
    <w:p>
      <w:r>
        <w:t xml:space="preserve">AutoChain is a state machine on DUAL that tokenizes warranty claims through five states: </w:t>
      </w:r>
    </w:p>
    <w:p>
      <w:r/>
    </w:p>
    <w:p>
      <w:r>
        <w:t xml:space="preserve">Key differentiators:</w:t>
      </w:r>
    </w:p>
    <w:p>
      <w:pPr>
        <w:pStyle w:val="ListParagraph"/>
        <w:numPr>
          <w:ilvl w:val="0"/>
          <w:numId w:val="2"/>
        </w:numPr>
      </w:pPr>
      <w:r>
        <w:t xml:space="preserve">OEM Serialization: Parts are signed by OEM (Bosch, Denso, etc.) at factory; AutoChain verifies signature on claim—counterfeits rejected in seconds</w:t>
      </w:r>
    </w:p>
    <w:p>
      <w:pPr>
        <w:pStyle w:val="ListParagraph"/>
        <w:numPr>
          <w:ilvl w:val="0"/>
          <w:numId w:val="2"/>
        </w:numPr>
      </w:pPr>
      <w:r>
        <w:t xml:space="preserve">Event Bus: Claim state changes broadcast to compliance layer, underwriting, and payment systems; cascading validation is automatic</w:t>
      </w:r>
    </w:p>
    <w:p>
      <w:pPr>
        <w:pStyle w:val="ListParagraph"/>
        <w:numPr>
          <w:ilvl w:val="0"/>
          <w:numId w:val="2"/>
        </w:numPr>
      </w:pPr>
      <w:r>
        <w:t xml:space="preserve">Compliance Layer: Warranty terms, regional regulations, and fraud thresholds are enforced natively in the token state machine</w:t>
      </w:r>
    </w:p>
    <w:p>
      <w:pPr>
        <w:pStyle w:val="ListParagraph"/>
        <w:numPr>
          <w:ilvl w:val="0"/>
          <w:numId w:val="2"/>
        </w:numPr>
      </w:pPr>
      <w:r>
        <w:t xml:space="preserve">Degraded Mode: Network offline? Claims cache locally, sync on reconnect—critical for dealer networks in rural areas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Market Opportunity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4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Segment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4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Size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4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Automotive Warranty Market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$50B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Global TAM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Warranty Fraud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$6B/year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Addressable loss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Parts Authentication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$3B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Adjacent market</w:t>
            </w:r>
          </w:p>
        </w:tc>
      </w:tr>
    </w:tbl>
    <w:p>
      <w:pPr>
        <w:spacing w:after="240"/>
      </w:pPr>
      <w:r>
        <w:t xml:space="preserve"/>
      </w:r>
    </w:p>
    <w:p>
      <w:r>
        <w:t xml:space="preserve">Revenue opportunity: 1% of fraud recovery at scale = $60M ARR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Business Model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Per-Claim Fee: </w:t>
      </w:r>
      <w:r>
        <w:t xml:space="preserve">$2–5 per validated claim (variable cost recovery)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Monthly SaaS: </w:t>
      </w:r>
      <w:r>
        <w:t xml:space="preserve">$5K–20K per OEM warranty division (predictable recurring revenue)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Enterprise License: </w:t>
      </w:r>
      <w:r>
        <w:t xml:space="preserve">Custom pricing for Tier-1 suppliers (volume discounts)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Go-to-Market (90-Day MVP)</w:t>
      </w:r>
    </w:p>
    <w:p>
      <w:pPr>
        <w:pStyle w:val="Heading2"/>
      </w:pPr>
      <w:r>
        <w:t xml:space="preserve">Month 1: MVP Development &amp; Integration</w:t>
      </w:r>
    </w:p>
    <w:p>
      <w:pPr>
        <w:pStyle w:val="ListParagraph"/>
        <w:numPr>
          <w:ilvl w:val="0"/>
          <w:numId w:val="2"/>
        </w:numPr>
      </w:pPr>
      <w:r>
        <w:t xml:space="preserve">Smart contracts (claim state machine, serialization verification)</w:t>
      </w:r>
    </w:p>
    <w:p>
      <w:pPr>
        <w:pStyle w:val="ListParagraph"/>
        <w:numPr>
          <w:ilvl w:val="0"/>
          <w:numId w:val="2"/>
        </w:numPr>
      </w:pPr>
      <w:r>
        <w:t xml:space="preserve">Integration with tier-1 supplier (e.g., Bosch) warranty system</w:t>
      </w:r>
    </w:p>
    <w:p>
      <w:pPr>
        <w:pStyle w:val="ListParagraph"/>
        <w:numPr>
          <w:ilvl w:val="0"/>
          <w:numId w:val="2"/>
        </w:numPr>
      </w:pPr>
      <w:r>
        <w:t xml:space="preserve">Dealer mobile app (claim filing, part serial input)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Month 2: Onboarding &amp; Alpha</w:t>
      </w:r>
    </w:p>
    <w:p>
      <w:pPr>
        <w:pStyle w:val="ListParagraph"/>
        <w:numPr>
          <w:ilvl w:val="0"/>
          <w:numId w:val="2"/>
        </w:numPr>
      </w:pPr>
      <w:r>
        <w:t xml:space="preserve">10–20 dealers onboarded; production-ready integration</w:t>
      </w:r>
    </w:p>
    <w:p>
      <w:pPr>
        <w:pStyle w:val="ListParagraph"/>
        <w:numPr>
          <w:ilvl w:val="0"/>
          <w:numId w:val="2"/>
        </w:numPr>
      </w:pPr>
      <w:r>
        <w:t xml:space="preserve">Closed-loop alpha testing; fraud pattern accumulation</w:t>
      </w:r>
    </w:p>
    <w:p>
      <w:pPr>
        <w:spacing w:after="120"/>
      </w:pPr>
      <w:r>
        <w:t xml:space="preserve"/>
      </w:r>
    </w:p>
    <w:p>
      <w:pPr>
        <w:pStyle w:val="Heading2"/>
      </w:pPr>
      <w:r>
        <w:t xml:space="preserve">Month 3: Launch &amp; Series A Prep</w:t>
      </w:r>
    </w:p>
    <w:p>
      <w:pPr>
        <w:pStyle w:val="ListParagraph"/>
        <w:numPr>
          <w:ilvl w:val="0"/>
          <w:numId w:val="2"/>
        </w:numPr>
      </w:pPr>
      <w:r>
        <w:t xml:space="preserve">Production go-live; proof-of-value metrics (fraud reduction %, claim cycle time)</w:t>
      </w:r>
    </w:p>
    <w:p>
      <w:pPr>
        <w:pStyle w:val="ListParagraph"/>
        <w:numPr>
          <w:ilvl w:val="0"/>
          <w:numId w:val="2"/>
        </w:numPr>
      </w:pPr>
      <w:r>
        <w:t xml:space="preserve">Regulatory clearance documentation (Magnuson-Moss, NHTSA, data privacy)</w:t>
      </w:r>
    </w:p>
    <w:p>
      <w:pPr>
        <w:pStyle w:val="ListParagraph"/>
        <w:numPr>
          <w:ilvl w:val="0"/>
          <w:numId w:val="2"/>
        </w:numPr>
      </w:pPr>
      <w:r>
        <w:t xml:space="preserve">Series A materials ready for Q2/Q3 pitch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Use of Funds ($500K)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4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F444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Amount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Engineering &amp; Infrastructure (smart contracts, APIs, infra)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$250K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Go-to-Market &amp; Sales (dealer outreach, pilot operations)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$150K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Compliance (legal, audit, finance)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$100K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Competitive Moat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Data Moat: </w:t>
      </w:r>
      <w:r>
        <w:t xml:space="preserve">Fraud patterns accumulate → proprietary ML scoring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First-Mover: </w:t>
      </w:r>
      <w:r>
        <w:t xml:space="preserve">$50B automotive warranty is pre-blockchain; no incumbent blockchain solutions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DUAL Advantage: </w:t>
      </w:r>
      <w:r>
        <w:t xml:space="preserve">Only blockchain with mutable state + Event Bus + native compliance for stateful, regulated use cases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OEM Lock-in: </w:t>
      </w:r>
      <w:r>
        <w:t xml:space="preserve">Integration deep in legacy warranty systems; high switching cost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Key Milestones</w:t>
      </w:r>
    </w:p>
    <w:p>
      <w:pPr>
        <w:pStyle w:val="ListParagraph"/>
        <w:numPr>
          <w:ilvl w:val="0"/>
          <w:numId w:val="3"/>
        </w:numPr>
      </w:pPr>
      <w:r>
        <w:t xml:space="preserve">Q1 2026: MVP smart contracts &amp; pilot dealer app deployed</w:t>
      </w:r>
    </w:p>
    <w:p>
      <w:pPr>
        <w:pStyle w:val="ListParagraph"/>
        <w:numPr>
          <w:ilvl w:val="0"/>
          <w:numId w:val="3"/>
        </w:numPr>
      </w:pPr>
      <w:r>
        <w:t xml:space="preserve">Q2 2026: 10–20 dealers in production; fraud reduction metrics published</w:t>
      </w:r>
    </w:p>
    <w:p>
      <w:pPr>
        <w:pStyle w:val="ListParagraph"/>
        <w:numPr>
          <w:ilvl w:val="0"/>
          <w:numId w:val="3"/>
        </w:numPr>
      </w:pPr>
      <w:r>
        <w:t xml:space="preserve">Q3 2026: Series A raise; expand to Tier-1 supplier partnerships</w:t>
      </w:r>
    </w:p>
    <w:p>
      <w:pPr>
        <w:pStyle w:val="ListParagraph"/>
        <w:numPr>
          <w:ilvl w:val="0"/>
          <w:numId w:val="3"/>
        </w:numPr>
      </w:pPr>
      <w:r>
        <w:t xml:space="preserve">2027+: Multi-OEM network, multiple part categories, $2M–5M ARR</w:t>
      </w:r>
    </w:p>
    <w:p>
      <w:pPr>
        <w:spacing w:after="240"/>
      </w:pPr>
      <w:r>
        <w:t xml:space="preserve"/>
      </w:r>
    </w:p>
    <w:p>
      <w:r>
        <w:t xml:space="preserve">AutoChain brings transparency, speed, and trust to a $6B fraud market. DUAL's native state machine and compliance capabilities are uniquely positioned to solve automotive warranty's most complex challenges.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EF4444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color w:val="EF4444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2026-04-01T09:02:48.872Z</dcterms:created>
  <dcterms:modified xsi:type="dcterms:W3CDTF">2026-04-01T09:02:48.872Z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