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59E0B"/>
          <w:sz w:val="32"/>
          <w:szCs w:val="32"/>
        </w:rPr>
        <w:t xml:space="preserve">BuildFinance™</w:t>
      </w:r>
    </w:p>
    <w:p>
      <w:pPr>
        <w:spacing w:after="240"/>
      </w:pPr>
      <w:r>
        <w:rPr>
          <w:color w:val="666666"/>
          <w:sz w:val="22"/>
          <w:szCs w:val="22"/>
        </w:rPr>
        <w:t xml:space="preserve">Executive Memo</w:t>
      </w:r>
    </w:p>
    <w:p>
      <w:pPr>
        <w:spacing w:after="360"/>
      </w:pPr>
      <w:r>
        <w:rPr>
          <w:color w:val="666666"/>
          <w:sz w:val="18"/>
          <w:szCs w:val="18"/>
        </w:rPr>
        <w:t xml:space="preserve">Date: April 1, 2026  |  Asking: $500K  |  Type: Pre-Seed</w:t>
      </w:r>
    </w:p>
    <w:p>
      <w:pPr>
        <w:pStyle w:val="Heading1"/>
      </w:pPr>
      <w:r>
        <w:t xml:space="preserve">Executive Summary</w:t>
      </w:r>
    </w:p>
    <w:p>
      <w:r>
        <w:t xml:space="preserve">BuildFinance™ is a blockchain-native payment certification platform for construction subcontractor networks. We use DUAL Network's state machine and event bus to automate milestone verification, eliminate payment disputes, and provide an immutable audit trail—without requiring escrow.</w:t>
      </w:r>
    </w:p>
    <w:p>
      <w:r>
        <w:t xml:space="preserve">A $500K pre-seed round funds an 18-month runway targeting $400K ARR in Year 1 and a path to $40M+ revenue by Year 5. The construction finance market is $13 trillion globally; payment disputes alone cost the industry $30B+ annually.</w:t>
      </w:r>
    </w:p>
    <w:p>
      <w:pPr>
        <w:spacing w:after="240"/>
      </w:pPr>
      <w:r>
        <w:t xml:space="preserve"/>
      </w:r>
    </w:p>
    <w:p>
      <w:pPr>
        <w:pStyle w:val="Heading1"/>
      </w:pPr>
      <w:r>
        <w:t xml:space="preserve">The Problem</w:t>
      </w:r>
    </w:p>
    <w:p>
      <w:r>
        <w:t xml:space="preserve">Construction payment disputes are endemic. General contractors manually verify milestone completion, creating bottlenecks. Subcontractors wait weeks for payment confirmation. Lenders and finance platforms lack transparent audit trails, driving up dispute costs ($30B+/year) and slowing adoption of digital payment rails.</w:t>
      </w:r>
    </w:p>
    <w:p>
      <w:r>
        <w:t xml:space="preserve">Existing solutions (Esub, Touchplan) manage workflow but lack certification proof. Blockchain escrow platforms over-engineer the problem, adding fees and complexity. There is no lightweight, blockchain-native certification layer that integrates with existing payment systems.</w:t>
      </w:r>
    </w:p>
    <w:p>
      <w:pPr>
        <w:spacing w:after="240"/>
      </w:pPr>
      <w:r>
        <w:t xml:space="preserve"/>
      </w:r>
    </w:p>
    <w:p>
      <w:pPr>
        <w:pStyle w:val="Heading1"/>
      </w:pPr>
      <w:r>
        <w:t xml:space="preserve">The Solution</w:t>
      </w:r>
    </w:p>
    <w:p>
      <w:r>
        <w:t xml:space="preserve">BuildFinance™ provides a DUAL Network-native certification and release ledger. General contractors upload milestone verification (photos, checklists). Our state machine transitions the milestone token from 'In_Progress' to 'Verified,' immutably recording the evidence. Payment release logic fires automatically—no escrow required.</w:t>
      </w:r>
    </w:p>
    <w:p>
      <w:r>
        <w:t xml:space="preserve">Key differentiation:</w:t>
      </w:r>
    </w:p>
    <w:p>
      <text>Immutable Certification Log</text>
      <text>Automated State Machine</text>
      <text>Event-Driven Payment Cascades</text>
      <text>Lien Law Compliance Automation</text>
      <text>Integration with existing payment rails (no escrow)</text>
    </w:p>
    <w:p>
      <w:pPr>
        <w:spacing w:after="240"/>
      </w:pPr>
      <w:r>
        <w:t xml:space="preserve"/>
      </w:r>
    </w:p>
    <w:p>
      <w:pPr>
        <w:pStyle w:val="Heading1"/>
      </w:pPr>
      <w:r>
        <w:t xml:space="preserve">Business Model</w:t>
      </w:r>
    </w:p>
    <w:p>
      <w:r>
        <w:t xml:space="preserve">Two revenue streams:</w:t>
      </w:r>
    </w:p>
    <w:p>
      <text>Per-Milestone Certification: $10–50 per milestone verified</text>
      <text>Contractor SaaS: $2K–10K monthly for unlimited milestones</text>
      <text>Lender Licensing: Revenue share on integration fees</text>
    </w:p>
    <w:p>
      <w:r>
        <w:t xml:space="preserve">Year 1 target: $400K ARR from 3–5 GCs × 5–7 projects × $50/certification. Gross margin: 65%. Path to profitability: Month 24.</w:t>
      </w:r>
    </w:p>
    <w:p>
      <w:pPr>
        <w:spacing w:after="240"/>
      </w:pPr>
      <w:r>
        <w:t xml:space="preserve"/>
      </w:r>
    </w:p>
    <w:p>
      <w:pPr>
        <w:pStyle w:val="Heading1"/>
      </w:pPr>
      <w:r>
        <w:t xml:space="preserve">Use of Funds ($500K)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0"/>
        <w:gridCol w:w="4160"/>
      </w:tblGrid>
      <w:tr>
        <w:tc>
          <w:tcPr>
            <w:tcW w:type="dxa" w:w="5200"/>
            <w:tcBorders>
              <w:top w:val="single" w:color="CCCCCC" w:sz="1"/>
              <w:left w:val="single" w:color="CCCCCC" w:sz="1"/>
              <w:bottom w:val="single" w:color="CCCCCC" w:sz="1"/>
              <w:right w:val="single" w:color="CCCCCC" w:sz="1"/>
            </w:tcBorders>
            <w:shd w:fill="F59E0B" w:val="clear"/>
            <w:tcMar>
              <w:top w:type="dxa" w:w="80"/>
              <w:left w:type="dxa" w:w="120"/>
              <w:bottom w:type="dxa" w:w="80"/>
              <w:right w:type="dxa" w:w="120"/>
            </w:tcMar>
          </w:tcPr>
          <w:p>
            <w:r>
              <w:rPr>
                <w:b/>
                <w:bCs/>
                <w:color w:val="1C1C2E"/>
              </w:rPr>
              <w:t xml:space="preserve">Category</w:t>
            </w:r>
          </w:p>
        </w:tc>
        <w:tc>
          <w:tcPr>
            <w:tcW w:type="dxa" w:w="4160"/>
            <w:tcBorders>
              <w:top w:val="single" w:color="CCCCCC" w:sz="1"/>
              <w:left w:val="single" w:color="CCCCCC" w:sz="1"/>
              <w:bottom w:val="single" w:color="CCCCCC" w:sz="1"/>
              <w:right w:val="single" w:color="CCCCCC" w:sz="1"/>
            </w:tcBorders>
            <w:shd w:fill="F59E0B" w:val="clear"/>
            <w:tcMar>
              <w:top w:type="dxa" w:w="80"/>
              <w:left w:type="dxa" w:w="120"/>
              <w:bottom w:type="dxa" w:w="80"/>
              <w:right w:type="dxa" w:w="120"/>
            </w:tcMar>
          </w:tcPr>
          <w:p>
            <w:r>
              <w:rPr>
                <w:b/>
                <w:bCs/>
                <w:color w:val="1C1C2E"/>
              </w:rPr>
              <w:t xml:space="preserve">Allocation</w:t>
            </w:r>
          </w:p>
        </w:tc>
      </w:tr>
      <w:tr>
        <w:tc>
          <w:tcPr>
            <w:tcW w:type="dxa" w:w="5200"/>
            <w:tcBorders>
              <w:top w:val="single" w:color="CCCCCC" w:sz="1"/>
              <w:left w:val="single" w:color="CCCCCC" w:sz="1"/>
              <w:bottom w:val="single" w:color="CCCCCC" w:sz="1"/>
              <w:right w:val="single" w:color="CCCCCC" w:sz="1"/>
            </w:tcBorders>
            <w:shd w:fill="E5E7EB" w:val="clear"/>
            <w:tcMar>
              <w:top w:type="dxa" w:w="80"/>
              <w:left w:type="dxa" w:w="120"/>
              <w:bottom w:type="dxa" w:w="80"/>
              <w:right w:type="dxa" w:w="120"/>
            </w:tcMar>
          </w:tcPr>
          <w:p>
            <w:r>
              <w:t xml:space="preserve">Product Development</w:t>
            </w:r>
          </w:p>
        </w:tc>
        <w:tc>
          <w:tcPr>
            <w:tcW w:type="dxa" w:w="4160"/>
            <w:tcBorders>
              <w:top w:val="single" w:color="CCCCCC" w:sz="1"/>
              <w:left w:val="single" w:color="CCCCCC" w:sz="1"/>
              <w:bottom w:val="single" w:color="CCCCCC" w:sz="1"/>
              <w:right w:val="single" w:color="CCCCCC" w:sz="1"/>
            </w:tcBorders>
            <w:shd w:fill="E5E7EB" w:val="clear"/>
            <w:tcMar>
              <w:top w:type="dxa" w:w="80"/>
              <w:left w:type="dxa" w:w="120"/>
              <w:bottom w:type="dxa" w:w="80"/>
              <w:right w:type="dxa" w:w="120"/>
            </w:tcMar>
          </w:tcPr>
          <w:p>
            <w:r>
              <w:t xml:space="preserve">$200K</w:t>
            </w:r>
          </w:p>
        </w:tc>
      </w:tr>
      <w:tr>
        <w:tc>
          <w:tcPr>
            <w:tcW w:type="dxa" w:w="52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Sales &amp; Partnerships</w:t>
            </w:r>
          </w:p>
        </w:tc>
        <w:tc>
          <w:tcPr>
            <w:tcW w:type="dxa" w:w="41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$100K</w:t>
            </w:r>
          </w:p>
        </w:tc>
      </w:tr>
      <w:tr>
        <w:tc>
          <w:tcPr>
            <w:tcW w:type="dxa" w:w="5200"/>
            <w:tcBorders>
              <w:top w:val="single" w:color="CCCCCC" w:sz="1"/>
              <w:left w:val="single" w:color="CCCCCC" w:sz="1"/>
              <w:bottom w:val="single" w:color="CCCCCC" w:sz="1"/>
              <w:right w:val="single" w:color="CCCCCC" w:sz="1"/>
            </w:tcBorders>
            <w:shd w:fill="E5E7EB" w:val="clear"/>
            <w:tcMar>
              <w:top w:type="dxa" w:w="80"/>
              <w:left w:type="dxa" w:w="120"/>
              <w:bottom w:type="dxa" w:w="80"/>
              <w:right w:type="dxa" w:w="120"/>
            </w:tcMar>
          </w:tcPr>
          <w:p>
            <w:r>
              <w:t xml:space="preserve">Compliance &amp; Legal</w:t>
            </w:r>
          </w:p>
        </w:tc>
        <w:tc>
          <w:tcPr>
            <w:tcW w:type="dxa" w:w="4160"/>
            <w:tcBorders>
              <w:top w:val="single" w:color="CCCCCC" w:sz="1"/>
              <w:left w:val="single" w:color="CCCCCC" w:sz="1"/>
              <w:bottom w:val="single" w:color="CCCCCC" w:sz="1"/>
              <w:right w:val="single" w:color="CCCCCC" w:sz="1"/>
            </w:tcBorders>
            <w:shd w:fill="E5E7EB" w:val="clear"/>
            <w:tcMar>
              <w:top w:type="dxa" w:w="80"/>
              <w:left w:type="dxa" w:w="120"/>
              <w:bottom w:type="dxa" w:w="80"/>
              <w:right w:type="dxa" w:w="120"/>
            </w:tcMar>
          </w:tcPr>
          <w:p>
            <w:r>
              <w:t xml:space="preserve">$75K</w:t>
            </w:r>
          </w:p>
        </w:tc>
      </w:tr>
      <w:tr>
        <w:tc>
          <w:tcPr>
            <w:tcW w:type="dxa" w:w="52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Team &amp; Operations</w:t>
            </w:r>
          </w:p>
        </w:tc>
        <w:tc>
          <w:tcPr>
            <w:tcW w:type="dxa" w:w="41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$75K</w:t>
            </w:r>
          </w:p>
        </w:tc>
      </w:tr>
      <w:tr>
        <w:tc>
          <w:tcPr>
            <w:tcW w:type="dxa" w:w="5200"/>
            <w:tcBorders>
              <w:top w:val="single" w:color="CCCCCC" w:sz="1"/>
              <w:left w:val="single" w:color="CCCCCC" w:sz="1"/>
              <w:bottom w:val="single" w:color="CCCCCC" w:sz="1"/>
              <w:right w:val="single" w:color="CCCCCC" w:sz="1"/>
            </w:tcBorders>
            <w:shd w:fill="F59E0B" w:val="clear"/>
            <w:tcMar>
              <w:top w:type="dxa" w:w="80"/>
              <w:left w:type="dxa" w:w="120"/>
              <w:bottom w:type="dxa" w:w="80"/>
              <w:right w:type="dxa" w:w="120"/>
            </w:tcMar>
          </w:tcPr>
          <w:p>
            <w:r>
              <w:rPr>
                <w:b/>
                <w:bCs/>
                <w:color w:val="1C1C2E"/>
              </w:rPr>
              <w:t xml:space="preserve">TOTAL</w:t>
            </w:r>
          </w:p>
        </w:tc>
        <w:tc>
          <w:tcPr>
            <w:tcW w:type="dxa" w:w="4160"/>
            <w:tcBorders>
              <w:top w:val="single" w:color="CCCCCC" w:sz="1"/>
              <w:left w:val="single" w:color="CCCCCC" w:sz="1"/>
              <w:bottom w:val="single" w:color="CCCCCC" w:sz="1"/>
              <w:right w:val="single" w:color="CCCCCC" w:sz="1"/>
            </w:tcBorders>
            <w:shd w:fill="F59E0B" w:val="clear"/>
            <w:tcMar>
              <w:top w:type="dxa" w:w="80"/>
              <w:left w:type="dxa" w:w="120"/>
              <w:bottom w:type="dxa" w:w="80"/>
              <w:right w:type="dxa" w:w="120"/>
            </w:tcMar>
          </w:tcPr>
          <w:p>
            <w:r>
              <w:rPr>
                <w:b/>
                <w:bCs/>
                <w:color w:val="1C1C2E"/>
              </w:rPr>
              <w:t xml:space="preserve">$500K</w:t>
            </w:r>
          </w:p>
        </w:tc>
      </w:tr>
    </w:tbl>
    <w:p>
      <w:pPr>
        <w:spacing w:after="240"/>
      </w:pPr>
      <w:r>
        <w:t xml:space="preserve"/>
      </w:r>
    </w:p>
    <w:p>
      <w:pPr>
        <w:pStyle w:val="Heading1"/>
      </w:pPr>
      <w:r>
        <w:t xml:space="preserve">18-Month Roadmap</w:t>
      </w:r>
    </w:p>
    <w:p>
      <text>Months 1–2: GC partnership finalized, MVP architecture &amp; DUAL integration</text>
      <text>Month 3: First live milestone (5–7 certifications, 3–5 subcontractors)</text>
      <text>Months 4–6: Scale to 2–3 GCs, multi-project, Esub/Touchplan integrations</text>
      <text>Months 7–12: Lender partnership, compliance automation, $400K ARR</text>
      <text>Months 13–18: Regional expansion, Series A preparation</text>
    </w:p>
    <w:p>
      <w:pPr>
        <w:spacing w:after="360"/>
      </w:pPr>
      <w:r>
        <w:t xml:space="preserve"/>
      </w:r>
    </w:p>
    <w:p>
      <w:r>
        <w:t xml:space="preserve">BuildFinance™ is positioned to become the standard certification layer for construction payment. We are seeking partners who see the opportunity in blockchain-native construction finance.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C1C2E"/>
      <w:sz w:val="32"/>
      <w:szCs w:val="32"/>
    </w:rPr>
  </w:style>
  <w:style w:type="paragraph" w:styleId="Heading2">
    <w:name w:val="Heading 2"/>
    <w:basedOn w:val="Normal"/>
    <w:next w:val="Normal"/>
    <w:qFormat/>
    <w:pPr>
      <w:spacing w:after="100" w:before="180"/>
      <w:outlineLvl w:val="1"/>
    </w:pPr>
    <w:rPr>
      <w:rFonts w:ascii="Arial" w:cs="Arial" w:eastAsia="Arial" w:hAnsi="Arial"/>
      <w:b/>
      <w:bCs/>
      <w:color w:val="F59E0B"/>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2026-04-01T08:57:04.570Z</dcterms:created>
  <dcterms:modified xsi:type="dcterms:W3CDTF">2026-04-01T08:57:04.570Z</dcterms:modified>
</cp:coreProperties>
</file>

<file path=docProps/custom.xml><?xml version="1.0" encoding="utf-8"?>
<Properties xmlns="http://schemas.openxmlformats.org/officeDocument/2006/custom-properties" xmlns:vt="http://schemas.openxmlformats.org/officeDocument/2006/docPropsVTypes"/>
</file>