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tabs><w:tab w:val="right" w:pos="8928"/></w:tabs><w:spacing w:after="80"/></w:pPr><w:r><w:rPr><w:b/><w:bCs/><w:color w:val="22C55E"/><w:sz w:val="32"/><w:szCs w:val="32"/></w:rPr><w:t xml:space="preserve">CLIMATE PULSE™</w:t></w:r><w:r><w:rPr><w:i/><w:iCs/><w:sz w:val="20"/><w:szCs w:val="20"/></w:rPr><w:t xml:space="preserve">	Pre-Seed Executive Memo</w:t></w:r></w:p><w:p><w:pPr><w:spacing w:after="240"/></w:pPr><w:r><w:rPr><w:i/><w:iCs/><w:color w:val="666666"/><w:sz w:val="20"/><w:szCs w:val="20"/></w:rPr><w:t xml:space="preserve">Living Carbon Credit Lifecycle Tokens</w:t></w:r></w:p><w:p><w:pPr><w:spacing w:after="80"/></w:pPr><w:r><w:rPr><w:b/><w:bCs/></w:rPr><w:t xml:space="preserve">To:		VC Partners &amp; Carbon Market Leaders</w:t></w:r></w:p><w:p><w:pPr><w:spacing w:after="80"/></w:pPr><w:r><w:t xml:space="preserve">From:	Climate Pulse Team</w:t></w:r></w:p><w:p><w:pPr><w:spacing w:after="240"/></w:pPr><w:r><w:t xml:space="preserve">Date:	April 2026</w:t></w:r></w:p><w:p><w:pPr><w:spacing w:after="240"/></w:pPr><w:r><w:rPr><w:color w:val="CCCCCC"/></w:rPr><w:t xml:space="preserve">────────────────────────────────────────────────────────────────────────────────</w:t></w:r></w:p><w:p><w:pPr><w:pStyle w:val="Heading1"/></w:pPr><w:r><w:t xml:space="preserve">Executive Summary</w:t></w:r></w:p><w:p><w:pPr><w:spacing w:after="120"/></w:pPr><w:r><w:t xml:space="preserve">Climate Pulse™ is building programmable, self-healing carbon credit tokens powered by DUAL Protocol. We solve the $100B carbon market&apos;s core trust problem: verification and double-counting prevention.</w:t></w:r></w:p><w:p><w:pPr><w:spacing w:after="240"/></w:pPr><w:r/></w:p><w:p><w:pPr><w:pStyle w:val="Heading1"/></w:pPr><w:r><w:t xml:space="preserve">The Problem</w:t></w:r></w:p><w:p><w:pPr><w:spacing w:after="240"/></w:pPr><w:r/></w:p><w:p><w:pPr><w:pStyle w:val="Heading1"/></w:pPr><w:r><w:t xml:space="preserve">Solution &amp; Innovation</w:t></w:r></w:p><w:p><w:pPr><w:spacing w:after="240"/></w:pPr><w:r/></w:p><w:p><w:pPr><w:pStyle w:val="Heading1"/></w:pPr><w:r><w:t xml:space="preserve">Business Model</w:t></w:r></w:p><w:p><w:pPr><w:pStyle w:val="Heading2"/></w:pPr><w:r><w:t xml:space="preserve">Revenue Streams</w:t></w:r></w:p><w:p><w:pPr><w:spacing w:after="120"/></w:pPr><w:r/></w:p><w:p><w:pPr><w:pStyle w:val="Heading2"/></w:pPr><w:r><w:t xml:space="preserve">Projections (Conservative)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872"/><w:gridCol w:w="1872"/><w:gridCol w:w="1872"/><w:gridCol w:w="1872"/><w:gridCol w:w="1872"/></w:tblGrid><w:tr><0/></w:tr><w:tr><0/></w:tr><w:tr><0/></w:tr></w:tbl><w:p><w:pPr><w:spacing w:after="240"/></w:pPr></w:p><w:p><w:pPr><w:pStyle w:val="Heading1"/></w:pPr><w:r><w:t xml:space="preserve">Market Opportunity</w:t></w:r></w:p><w:p><w:pPr><w:spacing w:after="240"/></w:pPr><w:r/></w:p><w:p><w:pPr><w:pStyle w:val="Heading1"/></w:pPr><w:r><w:t xml:space="preserve">90-Day MVP Roadmap</w:t></w:r></w:p><w:p><w:pPr><w:spacing w:after="240"/></w:pPr><w:r/></w:p><w:p><w:pPr><w:pStyle w:val="Heading1"/></w:pPr><w:r><w:t xml:space="preserve">Use of Funds: $500K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5616"/><w:gridCol w:w="3744"/></w:tblGrid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shd w:fill="22C55E" w:val="clear"/><w:tcMar><w:top w:type="dxa" w:w="80"/><w:left w:type="dxa" w:w="120"/><w:bottom w:type="dxa" w:w="80"/><w:right w:type="dxa" w:w="120"/></w:tcMar></w:tcPr><w:p><w:r><w:rPr><w:b/><w:bCs/><w:color w:val="1A2332"/></w:rPr><w:t xml:space="preserve">Category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shd w:fill="22C55E" w:val="clear"/><w:tcMar><w:top w:type="dxa" w:w="80"/><w:left w:type="dxa" w:w="120"/><w:bottom w:type="dxa" w:w="80"/><w:right w:type="dxa" w:w="120"/></w:tcMar></w:tcPr><w:p><w:r><w:rPr><w:b/><w:bCs/><w:color w:val="1A2332"/></w:rPr><w:t xml:space="preserve">Amount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Engineering (4 devs + 1 DevOps)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$240K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Compliance &amp; Registry Partnerships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$100K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Infrastructure &amp; IoT Integration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$80K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Legal &amp; Regulatory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$50K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Ops, Marketing &amp; Contingency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tcMar><w:top w:type="dxa" w:w="60"/><w:left w:type="dxa" w:w="120"/><w:bottom w:type="dxa" w:w="60"/><w:right w:type="dxa" w:w="120"/></w:tcMar></w:tcPr><w:p><w:r><w:t xml:space="preserve">$30K</w:t></w:r></w:p></w:tc></w:tr><w:tr><w:tc><w:tcPr><w:tcW w:type="dxa" w:w="5616"/><w:tcBorders><w:top w:val="single" w:color="CCCCCC" w:sz="1"/><w:left w:val="single" w:color="CCCCCC" w:sz="1"/><w:bottom w:val="single" w:color="CCCCCC" w:sz="1"/><w:right w:val="single" w:color="CCCCCC" w:sz="1"/></w:tcBorders><w:shd w:fill="E2E8F0" w:val="clear"/><w:tcMar><w:top w:type="dxa" w:w="60"/><w:left w:type="dxa" w:w="120"/><w:bottom w:type="dxa" w:w="60"/><w:right w:type="dxa" w:w="120"/></w:tcMar></w:tcPr><w:p><w:r><w:rPr><w:b/><w:bCs/></w:rPr><w:t xml:space="preserve">Total</w:t></w:r></w:p></w:tc><w:tc><w:tcPr><w:tcW w:type="dxa" w:w="3744"/><w:tcBorders><w:top w:val="single" w:color="CCCCCC" w:sz="1"/><w:left w:val="single" w:color="CCCCCC" w:sz="1"/><w:bottom w:val="single" w:color="CCCCCC" w:sz="1"/><w:right w:val="single" w:color="CCCCCC" w:sz="1"/></w:tcBorders><w:shd w:fill="E2E8F0" w:val="clear"/><w:tcMar><w:top w:type="dxa" w:w="60"/><w:left w:type="dxa" w:w="120"/><w:bottom w:type="dxa" w:w="60"/><w:right w:type="dxa" w:w="120"/></w:tcMar></w:tcPr><w:p><w:r><w:rPr><w:b/><w:bCs/></w:rPr><w:t xml:space="preserve">$500K</w:t></w:r></w:p></w:tc></w:tr></w:tbl><w:p><w:pPr><w:spacing w:after="240"/></w:pPr></w:p><w:p><w:pPr><w:pStyle w:val="Heading1"/></w:pPr><w:r><w:t xml:space="preserve">Competitive Advantage</w:t></w:r></w:p><w:p><w:pPr><w:spacing w:after="240"/></w:pPr><w:r/></w:p><w:p><w:pPr><w:pStyle w:val="Heading1"/></w:pPr><w:r><w:t xml:space="preserve">Risk &amp; Mitigation</w:t></w:r></w:p><w:p><w:pPr><w:spacing w:after="240"/></w:pPr><w:r/></w:p><w:p><w:pPr><w:spacing w:after="120"/></w:pPr><w:r><w:rPr><w:i/><w:iCs/><w:color w:val="22C55E"/></w:rPr><w:t xml:space="preserve">Climate Pulse is ready to fix carbon. We have the team, the market tailwind, and the technical edge. Let&apos;s scale trust in offsets together.</w:t></w:r></w:p><w:sectPr><w:pgSz w:w="12240" w:h="15840" w:orient="portrait"/><w:pgMar w:top="1440" w:right="1440" w:bottom="1440" w:left="144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2C55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22C55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2026-04-01T09:25:41.708Z</dcterms:created>
  <dcterms:modified xsi:type="dcterms:W3CDTF">2026-04-01T09:25:41.708Z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