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CONDITIONAL TRADE INSTRUMENTS</w:t>
      </w:r>
    </w:p>
    <w:p>
      <w:pPr>
        <w:pStyle w:val="Heading2"/>
        <w:spacing w:after="100" w:before="200"/>
      </w:pPr>
      <w:r>
        <w:t xml:space="preserve">Executive Summary</w:t>
      </w:r>
    </w:p>
    <w:p>
      <w:pPr>
        <w:spacing w:line="240"/>
      </w:pPr>
      <w:r>
        <w:t xml:space="preserve">Conditional Trade Instruments are self-executing trade finance instruments deployed on DUAL Network. They leverage programmable tokens to embed milestone-gated escrow logic, IoT-driven shipment verification, and compliance screening—eliminating intermediaries and reducing settlement from 40 days to &lt;1 second. The $2.5T global trade finance gap represents a critical market opportunity.</w:t>
      </w:r>
    </w:p>
    <w:p>
      <w:pPr>
        <w:pStyle w:val="Heading2"/>
        <w:spacing w:after="100" w:before="200"/>
      </w:pPr>
      <w:r>
        <w:t xml:space="preserve">The Trade Finance Gap</w:t>
      </w:r>
    </w:p>
    <w:p>
      <w:pPr>
        <w:spacing w:line="240"/>
      </w:pPr>
      <w:r>
        <w:t xml:space="preserve">Global trade volume exceeds $18 trillion annually, yet $2.5 trillion in trade finance demand goes unfunded. Traditional banks reject approximately 40% of SME trade finance applications despite credit-healthy collateral. This gap is most acute in emerging markets—Southeast Asia, Latin America, Africa—where SMEs represent 90%+ of exporters but lack access to correspondent banking networks.</w:t>
      </w:r>
    </w:p>
    <w:p>
      <w:pPr>
        <w:spacing w:after="50" w:before="100"/>
      </w:pPr>
      <w:r>
        <w:t xml:space="preserve">Structural inefficiencies compound this gap: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Paper-based letters of credit average 40 days for settlement; manual verification of bills of lading, customs documents, and inspection reports creates bottlenecks.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Counterparty risk across borders remains difficult to assess in real time, forcing both buyer and seller to hold cash reserves.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No standardized platform exists for programmatic trade verification; each trade recreates the same documentation workflow.</w:t>
      </w:r>
    </w:p>
    <w:p>
      <w:pPr>
        <w:pStyle w:val="Heading2"/>
        <w:spacing w:after="100" w:before="200"/>
      </w:pPr>
      <w:r>
        <w:t xml:space="preserve">Product Overview: Conditional Instruments</w:t>
      </w:r>
    </w:p>
    <w:p>
      <w:pPr>
        <w:spacing w:line="240"/>
      </w:pPr>
      <w:r>
        <w:t xml:space="preserve">Conditional Trade Instruments are DUAL tokens that encode trade finance terms directly into their smart contract logic. Unlike generic smart contracts, each instrument embeds: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Escrow state: locked funds released only when conditions are met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Milestone definitions: shipment, customs clearance, quality inspection, delivery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Verification gates: IoT data (GPS, sensor logs) + document proofs (bill of lading, customs stamps) + inspection artifacts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Partial settlement: buyer funds release incrementally as each milestone is verified—seller gains liquidity at each stage</w:t>
      </w:r>
    </w:p>
    <w:p>
      <w:pPr>
        <w:pStyle w:val="Heading2"/>
        <w:spacing w:after="100" w:before="200"/>
      </w:pPr>
      <w:r>
        <w:t xml:space="preserve">Technical Architecture: Milestone-Gated Tokens</w:t>
      </w:r>
    </w:p>
    <w:p>
      <w:pPr>
        <w:spacing w:line="240"/>
      </w:pPr>
      <w:r>
        <w:t xml:space="preserve">The DUAL Network's four-layer architecture supports conditional instruments natively: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Asset Layer: Stores instrument terms, escrow balance, parties, corridor metadata, milestone checklist.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Logic Layer: Defines milestone conditions (arrival timestamp, customs clearance ID, inspection approval), release rules (partial payment % per milestone), settlement automation (final funds transfer on delivery proof).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Compliance Layer: Screens all parties against OFAC sanctions lists, country whitelists (AML), corridor-specific regulations.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Integration Layer: Pulls data from IoT networks (shipment location), shipping APIs (ETA updates), customs databases (clearance status), inspection systems (photo + metadata).</w:t>
      </w:r>
    </w:p>
    <w:p>
      <w:pPr>
        <w:pStyle w:val="Heading2"/>
        <w:spacing w:after="100" w:before="200"/>
      </w:pPr>
      <w:r>
        <w:t xml:space="preserve">Market Sizing</w:t>
      </w:r>
    </w:p>
    <w:p>
      <w:pPr>
        <w:spacing w:line="240"/>
      </w:pPr>
      <w:r>
        <w:t xml:space="preserve">TAM (Total Addressable Market): $100B+ — All trade finance infrastructure modernization (banks, fintech, alternative finance platforms).</w:t>
      </w:r>
    </w:p>
    <w:p>
      <w:pPr>
        <w:spacing w:line="240"/>
      </w:pPr>
      <w:r>
        <w:t xml:space="preserve">SAM (Serviceable Addressable Market): $10B — Digital-first trade finance platforms excluding legacy banking infrastructure.</w:t>
      </w:r>
    </w:p>
    <w:p>
      <w:pPr>
        <w:spacing w:line="240"/>
      </w:pPr>
      <w:r>
        <w:t xml:space="preserve">SOM (Serviceable Obtainable Market): $300M by Year 5 — DUAL-focused SME corridors (Southeast Asia→EU, LatAm→US, Africa→EMEA).</w:t>
      </w:r>
    </w:p>
    <w:p>
      <w:pPr>
        <w:pStyle w:val="Heading2"/>
        <w:spacing w:after="100" w:before="200"/>
      </w:pPr>
      <w:r>
        <w:t xml:space="preserve">Business Model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Platform Fee: 0.5% of instrument value — For $50K average instrument, ~$250 per trade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Milestone Verification: $100 per milestone certified — Typical 4 milestones = $400 per instrument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Compliance Screening: SLA-based fees for OFAC/AML screening and corridor whitelisting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Data Analytics: Anonymized corridor risk metrics, settlement velocity benchmarks, sold to fintech partners</w:t>
      </w:r>
    </w:p>
    <w:p>
      <w:pPr>
        <w:pStyle w:val="Heading2"/>
        <w:spacing w:after="100" w:before="200"/>
      </w:pPr>
      <w:r>
        <w:t xml:space="preserve">Competitive Analysis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fill="1E2761" w:color="auto"/>
            <w:tcMar>
              <w:top w:type="dxa" w:w="50"/>
              <w:left w:type="dxa" w:w="50"/>
              <w:bottom w:type="dxa" w:w="50"/>
              <w:right w:type="dxa" w:w="50"/>
            </w:tcMar>
          </w:tcPr>
          <w:p>
            <w:r>
              <w:t xml:space="preserve">Factor</w:t>
            </w:r>
          </w:p>
        </w:tc>
        <w:tc>
          <w:tcPr>
            <w:shd w:fill="1E2761" w:color="auto"/>
            <w:tcMar>
              <w:top w:type="dxa" w:w="50"/>
              <w:left w:type="dxa" w:w="50"/>
              <w:bottom w:type="dxa" w:w="50"/>
              <w:right w:type="dxa" w:w="50"/>
            </w:tcMar>
          </w:tcPr>
          <w:p>
            <w:r>
              <w:t xml:space="preserve">Traditional LC</w:t>
            </w:r>
          </w:p>
        </w:tc>
        <w:tc>
          <w:tcPr>
            <w:shd w:fill="1E2761" w:color="auto"/>
            <w:tcMar>
              <w:top w:type="dxa" w:w="50"/>
              <w:left w:type="dxa" w:w="50"/>
              <w:bottom w:type="dxa" w:w="50"/>
              <w:right w:type="dxa" w:w="50"/>
            </w:tcMar>
          </w:tcPr>
          <w:p>
            <w:r>
              <w:t xml:space="preserve">Contour/Marco Polo</w:t>
            </w:r>
          </w:p>
        </w:tc>
        <w:tc>
          <w:tcPr>
            <w:shd w:fill="1E2761" w:color="auto"/>
            <w:tcMar>
              <w:top w:type="dxa" w:w="50"/>
              <w:left w:type="dxa" w:w="50"/>
              <w:bottom w:type="dxa" w:w="50"/>
              <w:right w:type="dxa" w:w="50"/>
            </w:tcMar>
          </w:tcPr>
          <w:p>
            <w:r>
              <w:t xml:space="preserve">Conditional Instruments</w:t>
            </w:r>
          </w:p>
        </w:tc>
      </w:tr>
      <w:tr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Speed</w:t>
            </w:r>
          </w:p>
        </w:tc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30–40 days</w:t>
            </w:r>
          </w:p>
        </w:tc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7 days</w:t>
            </w:r>
          </w:p>
        </w:tc>
        <w:tc>
          <w:tcPr>
            <w:shd w:fill="CADCFC"/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&lt;1 second</w:t>
            </w:r>
          </w:p>
        </w:tc>
      </w:tr>
      <w:tr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Cost</w:t>
            </w:r>
          </w:p>
        </w:tc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1–3%</w:t>
            </w:r>
          </w:p>
        </w:tc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0.5–1.5%</w:t>
            </w:r>
          </w:p>
        </w:tc>
        <w:tc>
          <w:tcPr>
            <w:shd w:fill="CADCFC"/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0.5%</w:t>
            </w:r>
          </w:p>
        </w:tc>
      </w:tr>
      <w:tr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Programmable</w:t>
            </w:r>
          </w:p>
        </w:tc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No</w:t>
            </w:r>
          </w:p>
        </w:tc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Limited</w:t>
            </w:r>
          </w:p>
        </w:tc>
        <w:tc>
          <w:tcPr>
            <w:shd w:fill="CADCFC"/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Yes + native compliance</w:t>
            </w:r>
          </w:p>
        </w:tc>
      </w:tr>
      <w:tr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No Intermediary</w:t>
            </w:r>
          </w:p>
        </w:tc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No</w:t>
            </w:r>
          </w:p>
        </w:tc>
        <w:tc>
          <w:tcPr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No</w:t>
            </w:r>
          </w:p>
        </w:tc>
        <w:tc>
          <w:tcPr>
            <w:shd w:fill="CADCFC"/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r>
              <w:t xml:space="preserve">Yes</w:t>
            </w:r>
          </w:p>
        </w:tc>
      </w:tr>
    </w:tbl>
    <w:p>
      <w:pPr>
        <w:pStyle w:val="Heading2"/>
        <w:spacing w:after="100" w:before="200"/>
      </w:pPr>
      <w:r>
        <w:t xml:space="preserve">Go-to-Market Strategy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Phase 1 (Months 1–6): Launch in high-volume SME corridors—Southeast Asia→EU, LatAm→US, Africa→EMEA. Partner with fintech lenders and trade platforms for distribution.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Phase 2 (Months 6–18): Embed conditional instruments into bank RFQ systems; integrate with correspondent banking APIs.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Phase 3 (Year 2+): Expand to full supply chain finance—equipment leasing, inventory financing, revolving credit lines.</w:t>
      </w:r>
    </w:p>
    <w:p>
      <w:pPr>
        <w:pStyle w:val="Heading2"/>
        <w:spacing w:after="100" w:before="200"/>
      </w:pPr>
      <w:r>
        <w:t xml:space="preserve">Team</w:t>
      </w:r>
    </w:p>
    <w:p>
      <w:pPr>
        <w:spacing w:line="240"/>
      </w:pPr>
      <w:r>
        <w:t xml:space="preserve">[Team details to be provided]</w:t>
      </w:r>
    </w:p>
    <w:p>
      <w:pPr>
        <w:pStyle w:val="Heading2"/>
        <w:spacing w:after="100" w:before="200"/>
      </w:pPr>
      <w:r>
        <w:t xml:space="preserve">Use of Proceeds ($2M Seed)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Engineering &amp; Product (40%, $800K): Milestone verification system, IoT integration, compliance screening module, DUAL network integration.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Go-to-Market (30%, $600K): Corridor partnership development, bank integration support, SME educational campaigns.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Compliance &amp; Legal (15%, $300K): OFAC/AML screening infrastructure, corridor licensing, regulatory consultation.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Operating Reserve (15%, $300K): Runway extension, contingency.</w:t>
      </w:r>
    </w:p>
    <w:p>
      <w:pPr>
        <w:pStyle w:val="Heading2"/>
        <w:spacing w:after="100" w:before="200"/>
      </w:pPr>
      <w:r>
        <w:t xml:space="preserve">Risk Factors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Cross-Party Adoption: Banks and SMEs must agree to use the platform. We mitigate through early corridor partnerships and fintech distribution.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Regulatory Risk: Trade finance is heavily regulated; corridors may require additional licensing. We budget compliance resources accordingly.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Corridor Risk: Political or trade disruptions may reduce volume in key corridors. We diversify across multiple regions.</w:t>
      </w:r>
    </w:p>
    <w:p>
      <w:pPr>
        <w:pStyle w:val="ListParagraph"/>
        <w:numPr>
          <w:ilvl w:val="0"/>
          <w:numId w:val="1"/>
        </w:numPr>
        <w:spacing w:line="240"/>
      </w:pPr>
      <w:r>
        <w:t xml:space="preserve">IoT/API Dependency: Verification relies on third-party IoT and customs data. We maintain fallback manual verification processes.</w:t>
      </w:r>
    </w:p>
    <w:p>
      <w:pPr>
        <w:pStyle w:val="Heading2"/>
        <w:spacing w:after="100" w:before="200"/>
      </w:pPr>
      <w:r>
        <w:t xml:space="preserve">Appendix</w:t>
      </w:r>
    </w:p>
    <w:p>
      <w:pPr>
        <w:spacing w:line="240"/>
      </w:pPr>
      <w:r>
        <w:t xml:space="preserve">Detailed financial models, technical architecture diagrams, and customer discovery summaries available upon request.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2026-04-01T07:16:14.553Z</dcterms:created>
  <dcterms:modified xsi:type="dcterms:W3CDTF">2026-04-01T07:16:14.553Z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