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DC2626"/>
          <w:sz w:val="20"/>
          <w:szCs w:val="20"/>
        </w:rPr>
        <w:t xml:space="preserve">CONFIDENTIAL</w:t>
      </w:r>
    </w:p>
    <w:p>
      <w:pPr>
        <w:pStyle w:val="Heading1"/>
        <w:spacing w:after="120"/>
      </w:pPr>
      <w:r>
        <w:t xml:space="preserve">FleetIQ™ - Pre-Seed Memo</w:t>
      </w:r>
    </w:p>
    <w:p>
      <w:pPr>
        <w:spacing w:after="360"/>
        <w:jc w:val="center"/>
      </w:pPr>
      <w:r>
        <w:rPr>
          <w:color w:val="3B82F6"/>
          <w:sz w:val="22"/>
          <w:szCs w:val="22"/>
        </w:rPr>
        <w:t xml:space="preserve">Fleet Maintenance Compliance &amp; Resale Certification Ledger on DUAL Network</w:t>
      </w:r>
    </w:p>
    <w:p>
      <w:pPr>
        <w:pStyle w:val="Heading2"/>
      </w:pPr>
      <w:r>
        <w:t xml:space="preserve">Executive Summary</w:t>
      </w:r>
    </w:p>
    <w:p>
      <w:pPr>
        <w:spacing w:after="120"/>
      </w:pPr>
      <w:r>
        <w:t xml:space="preserve">FleetIQ is a blockchain-based fleet maintenance tracking and resale certification platform. We tokenize vehicle maintenance records on DUAL Network, making odometer rollback fraud cryptographically impossible while giving fleet operators an immutable audit trail for regulatory compliance.</w:t>
      </w:r>
    </w:p>
    <w:p>
      <w:r>
        <w:t xml:space="preserve">We are raising $500K in pre-seed funding to build MVP and acquire first 50-200 fleet operator customers ($500K-$2M ARR by month 12). Our team has 10+ years fleet operations + 5 years blockchain experience.</w:t>
      </w:r>
    </w:p>
    <w:p>
      <w:pPr>
        <w:spacing w:after="240"/>
      </w:pPr>
    </w:p>
    <w:p>
      <w:pPr>
        <w:pStyle w:val="Heading2"/>
      </w:pPr>
      <w:r>
        <w:t xml:space="preserve">The Problem</w:t>
      </w:r>
    </w:p>
    <w:p>
      <w:pPr>
        <w:pStyle w:val="ListParagraph"/>
        <w:numPr>
          <w:ilvl w:val="0"/>
          <w:numId w:val="2"/>
        </w:numPr>
      </w:pPr>
      <w:r>
        <w:t xml:space="preserve">Odometer rollback &amp; hidden maintenance history costs fleet buyers $10B+ annually</w:t>
      </w:r>
    </w:p>
    <w:p>
      <w:pPr>
        <w:pStyle w:val="ListParagraph"/>
        <w:numPr>
          <w:ilvl w:val="0"/>
          <w:numId w:val="2"/>
        </w:numPr>
      </w:pPr>
      <w:r>
        <w:t xml:space="preserve">Manual maintenance records are fragmented (paper, email, spreadsheets) and easily tampered</w:t>
      </w:r>
    </w:p>
    <w:p>
      <w:pPr>
        <w:pStyle w:val="ListParagraph"/>
        <w:numPr>
          <w:ilvl w:val="0"/>
          <w:numId w:val="2"/>
        </w:numPr>
      </w:pPr>
      <w:r>
        <w:t xml:space="preserve">Fleet operators have no cryptographic proof of vehicle condition for resale</w:t>
      </w:r>
    </w:p>
    <w:p>
      <w:pPr>
        <w:pStyle w:val="ListParagraph"/>
        <w:numPr>
          <w:ilvl w:val="0"/>
          <w:numId w:val="2"/>
        </w:numPr>
      </w:pPr>
      <w:r>
        <w:t xml:space="preserve">Insurers (Progressive, National General) can't verify true maintenance history when underwriting</w:t>
      </w:r>
    </w:p>
    <w:p>
      <w:pPr>
        <w:pStyle w:val="ListParagraph"/>
        <w:numPr>
          <w:ilvl w:val="0"/>
          <w:numId w:val="2"/>
        </w:numPr>
        <w:spacing w:after="240"/>
      </w:pPr>
      <w:r>
        <w:t xml:space="preserve">Regulatory compliance (NHTSA, FTC, state anti-rollback laws) requires auditable records</w:t>
      </w:r>
    </w:p>
    <w:p>
      <w:pPr>
        <w:pStyle w:val="Heading2"/>
      </w:pPr>
      <w:r>
        <w:t xml:space="preserve">The Solution</w:t>
      </w:r>
    </w:p>
    <w:p>
      <w:pPr>
        <w:spacing w:after="120"/>
      </w:pPr>
      <w:r>
        <w:t xml:space="preserve">FleetIQ mints one non-fungible token per vehicle. Each token tracks immutable maintenance events (oil changes, inspections, repairs, parts replacements) and state transitions:</w:t>
      </w:r>
    </w:p>
    <w:p>
      <w:pPr>
        <w:pStyle w:val="ListParagraph"/>
        <w:numPr>
          <w:ilvl w:val="0"/>
          <w:numId w:val="2"/>
        </w:numPr>
      </w:pPr>
      <w:r>
        <w:t xml:space="preserve">In_Service → Maintenance_Due → Under_Service → Service_Completed → Ready_for_Resale → Sold</w:t>
      </w:r>
    </w:p>
    <w:p>
      <w:pPr>
        <w:pStyle w:val="ListParagraph"/>
        <w:numPr>
          <w:ilvl w:val="0"/>
          <w:numId w:val="2"/>
        </w:numPr>
        <w:spacing w:after="240"/>
      </w:pPr>
      <w:r>
        <w:t xml:space="preserve">Maintenance service logs are timestamped, signed by fleet technician, recorded on DUAL</w:t>
      </w:r>
    </w:p>
    <w:p>
      <w:pPr>
        <w:pStyle w:val="Heading2"/>
      </w:pPr>
      <w:r>
        <w:t xml:space="preserve">MVP Scope (3 months)</w:t>
      </w:r>
    </w:p>
    <w:p>
      <w:pPr>
        <w:pStyle w:val="ListParagraph"/>
        <w:numPr>
          <w:ilvl w:val="0"/>
          <w:numId w:val="2"/>
        </w:numPr>
      </w:pPr>
      <w:r>
        <w:t xml:space="preserve">One fleet operator (logistics company, 50 light trucks)</w:t>
      </w:r>
    </w:p>
    <w:p>
      <w:pPr>
        <w:pStyle w:val="ListParagraph"/>
        <w:numPr>
          <w:ilvl w:val="0"/>
          <w:numId w:val="2"/>
        </w:numPr>
      </w:pPr>
      <w:r>
        <w:t xml:space="preserve">Smart contract: Vehicle NFT token, maintenance ledger, state machine</w:t>
      </w:r>
    </w:p>
    <w:p>
      <w:pPr>
        <w:pStyle w:val="ListParagraph"/>
        <w:numPr>
          <w:ilvl w:val="0"/>
          <w:numId w:val="2"/>
        </w:numPr>
      </w:pPr>
      <w:r>
        <w:t xml:space="preserve">Fleet dashboard: Log maintenance, view vehicle history, export resale certification</w:t>
      </w:r>
    </w:p>
    <w:p>
      <w:pPr>
        <w:pStyle w:val="ListParagraph"/>
        <w:numPr>
          <w:ilvl w:val="0"/>
          <w:numId w:val="2"/>
        </w:numPr>
      </w:pPr>
      <w:r>
        <w:t xml:space="preserve">DUAL Network deployment (secure, &lt;$0.01 per event)</w:t>
      </w:r>
    </w:p>
    <w:p>
      <w:pPr>
        <w:pStyle w:val="ListParagraph"/>
        <w:numPr>
          <w:ilvl w:val="0"/>
          <w:numId w:val="2"/>
        </w:numPr>
        <w:spacing w:after="240"/>
      </w:pPr>
      <w:r>
        <w:t xml:space="preserve">Legal review: NHTSA/FTC compliance</w:t>
      </w:r>
    </w:p>
    <w:p>
      <w:pPr>
        <w:pStyle w:val="Heading2"/>
      </w:pPr>
      <w:r>
        <w:t xml:space="preserve">Market Size</w:t>
      </w:r>
    </w:p>
    <w:p>
      <w:r>
        <w:rPr>
          <w:b/>
          <w:bCs/>
        </w:rPr>
        <w:t xml:space="preserve">TAM: </w:t>
      </w:r>
      <w:r>
        <w:t xml:space="preserve">$55B+ (Fleet Management $40B + Used Vehicle Certification $10B + Insurance Fleet Underwriting $5B)</w:t>
      </w:r>
    </w:p>
    <w:p>
      <w:r>
        <w:rPr>
          <w:b/>
          <w:bCs/>
        </w:rPr>
        <w:t xml:space="preserve">SAM (US Fleet): </w:t>
      </w:r>
      <w:r>
        <w:t xml:space="preserve">$8B (enterprise fleet management, certification, insurance)</w:t>
      </w:r>
    </w:p>
    <w:p>
      <w:pPr>
        <w:spacing w:after="240"/>
      </w:pPr>
      <w:r>
        <w:rPr>
          <w:b/>
          <w:bCs/>
        </w:rPr>
        <w:t xml:space="preserve">SOM (Y1): </w:t>
      </w:r>
      <w:r>
        <w:t xml:space="preserve">$500K (50-200 fleets, 500-5K vehicles)</w:t>
      </w:r>
    </w:p>
    <w:p>
      <w:pPr>
        <w:pStyle w:val="Heading2"/>
      </w:pPr>
      <w:r>
        <w:t xml:space="preserve">Buyers &amp; Revenue Model</w:t>
      </w:r>
    </w:p>
    <w:p>
      <w:pPr>
        <w:pStyle w:val="ListParagraph"/>
        <w:numPr>
          <w:ilvl w:val="0"/>
          <w:numId w:val="2"/>
        </w:numPr>
      </w:pPr>
      <w:r>
        <w:t xml:space="preserve">Fleet Operators: $5-15/vehicle/month (maintenance + compliance SaaS)</w:t>
      </w:r>
    </w:p>
    <w:p>
      <w:pPr>
        <w:pStyle w:val="ListParagraph"/>
        <w:numPr>
          <w:ilvl w:val="0"/>
          <w:numId w:val="2"/>
        </w:numPr>
      </w:pPr>
      <w:r>
        <w:t xml:space="preserve">Fleet Management Platforms (Samsara, Verizon Connect): $2K-10K integration fee</w:t>
      </w:r>
    </w:p>
    <w:p>
      <w:pPr>
        <w:pStyle w:val="ListParagraph"/>
        <w:numPr>
          <w:ilvl w:val="0"/>
          <w:numId w:val="2"/>
        </w:numPr>
      </w:pPr>
      <w:r>
        <w:t xml:space="preserve">Used Vehicle Auctions (Copart, IAA): $50-200/resale certification</w:t>
      </w:r>
    </w:p>
    <w:p>
      <w:pPr>
        <w:pStyle w:val="ListParagraph"/>
        <w:numPr>
          <w:ilvl w:val="0"/>
          <w:numId w:val="2"/>
        </w:numPr>
        <w:spacing w:after="240"/>
      </w:pPr>
      <w:r>
        <w:t xml:space="preserve">Insurers (Progressive, National General): Risk-adjusted underwriting fees</w:t>
      </w:r>
    </w:p>
    <w:p>
      <w:pPr>
        <w:pStyle w:val="Heading2"/>
      </w:pPr>
      <w:r>
        <w:t xml:space="preserve">Financial Projections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Metric</w:t>
            </w:r>
          </w:p>
        </w:tc>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Y1</w:t>
            </w:r>
          </w:p>
        </w:tc>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Y2</w:t>
            </w:r>
          </w:p>
        </w:tc>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Y3</w:t>
            </w:r>
          </w:p>
        </w:tc>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Y4</w:t>
            </w:r>
          </w:p>
        </w:tc>
        <w:tc>
          <w:tcPr>
            <w:tcW w:type="dxa" w:w="1560"/>
            <w:tcBorders>
              <w:top w:val="single" w:color="CCCCCC" w:sz="1"/>
              <w:left w:val="single" w:color="CCCCCC" w:sz="1"/>
              <w:bottom w:val="single" w:color="CCCCCC" w:sz="1"/>
              <w:right w:val="single" w:color="CCCCCC" w:sz="1"/>
            </w:tcBorders>
            <w:shd w:fill="3B82F6" w:val="clear"/>
            <w:tcMar>
              <w:top w:type="dxa" w:w="80"/>
              <w:left w:type="dxa" w:w="120"/>
              <w:bottom w:type="dxa" w:w="80"/>
              <w:right w:type="dxa" w:w="120"/>
            </w:tcMar>
          </w:tcPr>
          <w:p>
            <w:r>
              <w:rPr>
                <w:b/>
                <w:bCs/>
                <w:color w:val="FFFFFF"/>
              </w:rPr>
              <w:t xml:space="preserve">Y5</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ARR</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$500K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$3M</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$12M</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$28M</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$45M</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Vehicles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500</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25K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75K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150K</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EBITDA</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($400K)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$200K</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$2.4M</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$7M</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$15M</w:t>
            </w:r>
          </w:p>
        </w:tc>
      </w:tr>
    </w:tbl>
    <w:p>
      <w:pPr>
        <w:spacing w:after="240"/>
      </w:pPr>
    </w:p>
    <w:p>
      <w:pPr>
        <w:pStyle w:val="Heading2"/>
      </w:pPr>
      <w:r>
        <w:t xml:space="preserve">Use of Funds ($500K Pre-Seed)</w:t>
      </w:r>
    </w:p>
    <w:p>
      <w:pPr>
        <w:pStyle w:val="ListParagraph"/>
        <w:numPr>
          <w:ilvl w:val="0"/>
          <w:numId w:val="2"/>
        </w:numPr>
      </w:pPr>
      <w:r>
        <w:t xml:space="preserve">Product &amp; Engineering ($250K): Smart contracts, fleet API, dashboard, security audit</w:t>
      </w:r>
    </w:p>
    <w:p>
      <w:pPr>
        <w:pStyle w:val="ListParagraph"/>
        <w:numPr>
          <w:ilvl w:val="0"/>
          <w:numId w:val="2"/>
        </w:numPr>
      </w:pPr>
      <w:r>
        <w:t xml:space="preserve">Go-to-Market ($150K): Sales, customer onboarding, Samsara/Verizon partnerships</w:t>
      </w:r>
    </w:p>
    <w:p>
      <w:pPr>
        <w:pStyle w:val="ListParagraph"/>
        <w:numPr>
          <w:ilvl w:val="0"/>
          <w:numId w:val="2"/>
        </w:numPr>
      </w:pPr>
      <w:r>
        <w:t xml:space="preserve">Operations &amp; Legal ($70K): Compliance, regulatory, accounting, insurance</w:t>
      </w:r>
    </w:p>
    <w:p>
      <w:pPr>
        <w:pStyle w:val="ListParagraph"/>
        <w:numPr>
          <w:ilvl w:val="0"/>
          <w:numId w:val="2"/>
        </w:numPr>
        <w:spacing w:after="240"/>
      </w:pPr>
      <w:r>
        <w:t xml:space="preserve">Runway ($30K): Buffer and contingency</w:t>
      </w:r>
    </w:p>
    <w:p>
      <w:pPr>
        <w:pStyle w:val="Heading2"/>
      </w:pPr>
      <w:r>
        <w:t xml:space="preserve">The Team</w:t>
      </w:r>
    </w:p>
    <w:p>
      <w:pPr>
        <w:pStyle w:val="ListParagraph"/>
        <w:numPr>
          <w:ilvl w:val="0"/>
          <w:numId w:val="2"/>
        </w:numPr>
      </w:pPr>
      <w:r>
        <w:t xml:space="preserve">Founder/CEO: 10 years fleet operations + supply chain logistics, deep customer relationships</w:t>
      </w:r>
    </w:p>
    <w:p>
      <w:pPr>
        <w:pStyle w:val="ListParagraph"/>
        <w:numPr>
          <w:ilvl w:val="0"/>
          <w:numId w:val="2"/>
        </w:numPr>
      </w:pPr>
      <w:r>
        <w:t xml:space="preserve">CTO: Solidity engineer, 5 years blockchain, multiple mainnet deployments</w:t>
      </w:r>
    </w:p>
    <w:p>
      <w:pPr>
        <w:pStyle w:val="ListParagraph"/>
        <w:numPr>
          <w:ilvl w:val="0"/>
          <w:numId w:val="2"/>
        </w:numPr>
      </w:pPr>
      <w:r>
        <w:t xml:space="preserve">COO: SaaS scaling + B2B sales, previous exits</w:t>
      </w:r>
    </w:p>
    <w:p>
      <w:pPr>
        <w:pStyle w:val="ListParagraph"/>
        <w:numPr>
          <w:ilvl w:val="0"/>
          <w:numId w:val="2"/>
        </w:numPr>
        <w:spacing w:after="240"/>
      </w:pPr>
      <w:r>
        <w:t xml:space="preserve">Advisors: Former Samsara PM, angels from Convoy/Flexport/Blockchain Capital</w:t>
      </w:r>
    </w:p>
    <w:p>
      <w:pPr>
        <w:pStyle w:val="Heading2"/>
      </w:pPr>
      <w:r>
        <w:t xml:space="preserve">Why DUAL Network?</w:t>
      </w:r>
    </w:p>
    <w:p>
      <w:pPr>
        <w:pStyle w:val="ListParagraph"/>
        <w:numPr>
          <w:ilvl w:val="0"/>
          <w:numId w:val="2"/>
        </w:numPr>
      </w:pPr>
      <w:r>
        <w:t xml:space="preserve">Cost: &lt;$0.01/event vs. Ethereum $0.50-2.00 (1000x cheaper, critical for per-vehicle SaaS)</w:t>
      </w:r>
    </w:p>
    <w:p>
      <w:pPr>
        <w:pStyle w:val="ListParagraph"/>
        <w:numPr>
          <w:ilvl w:val="0"/>
          <w:numId w:val="2"/>
        </w:numPr>
      </w:pPr>
      <w:r>
        <w:t xml:space="preserve">Speed: 2-3 second finality (vs. 12-15 seconds Ethereum)</w:t>
      </w:r>
    </w:p>
    <w:p>
      <w:pPr>
        <w:pStyle w:val="ListParagraph"/>
        <w:numPr>
          <w:ilvl w:val="0"/>
          <w:numId w:val="2"/>
        </w:numPr>
      </w:pPr>
      <w:r>
        <w:t xml:space="preserve">EVM Compatible: Reuse existing tools, libraries, expertise</w:t>
      </w:r>
    </w:p>
    <w:p>
      <w:pPr>
        <w:pStyle w:val="ListParagraph"/>
        <w:numPr>
          <w:ilvl w:val="0"/>
          <w:numId w:val="2"/>
        </w:numPr>
        <w:spacing w:after="240"/>
      </w:pPr>
      <w:r>
        <w:t xml:space="preserve">Sustainability: Low-energy consensus aligns with fleet buyer values</w:t>
      </w:r>
    </w:p>
    <w:p>
      <w:pPr>
        <w:pStyle w:val="Heading2"/>
      </w:pPr>
      <w:r>
        <w:t xml:space="preserve">Risk &amp; Mitigation</w:t>
      </w:r>
    </w:p>
    <w:p>
      <w:pPr>
        <w:pStyle w:val="ListParagraph"/>
        <w:numPr>
          <w:ilvl w:val="0"/>
          <w:numId w:val="2"/>
        </w:numPr>
      </w:pPr>
      <w:r>
        <w:t xml:space="preserve">Regulatory: NHTSA/FTC compliance — working with legal firm, audit trail meets all standards</w:t>
      </w:r>
    </w:p>
    <w:p>
      <w:pPr>
        <w:pStyle w:val="ListParagraph"/>
        <w:numPr>
          <w:ilvl w:val="0"/>
          <w:numId w:val="2"/>
        </w:numPr>
      </w:pPr>
      <w:r>
        <w:t xml:space="preserve">Adoption: Fleet platform integrations — early Samsara PM advisor signals strong interest</w:t>
      </w:r>
    </w:p>
    <w:p>
      <w:pPr>
        <w:pStyle w:val="ListParagraph"/>
        <w:numPr>
          <w:ilvl w:val="0"/>
          <w:numId w:val="2"/>
        </w:numPr>
      </w:pPr>
      <w:r>
        <w:t xml:space="preserve">Market: Blockchain skepticism — blockchain invisible to end-user, focus on maintenance SaaS value</w:t>
      </w:r>
    </w:p>
    <w:p>
      <w:pPr>
        <w:pStyle w:val="ListParagraph"/>
        <w:numPr>
          <w:ilvl w:val="0"/>
          <w:numId w:val="2"/>
        </w:numPr>
        <w:spacing w:after="240"/>
      </w:pPr>
      <w:r>
        <w:t xml:space="preserve">Tech: Smart contract bugs — third-party audit, gradual rollout, insurance coverage</w:t>
      </w:r>
    </w:p>
    <w:p>
      <w:pPr>
        <w:pStyle w:val="Heading2"/>
      </w:pPr>
      <w:r>
        <w:t xml:space="preserve">Conclusion</w:t>
      </w:r>
    </w:p>
    <w:p>
      <w:pPr>
        <w:spacing w:after="360"/>
      </w:pPr>
      <w:r>
        <w:t xml:space="preserve">FleetIQ solves a $10B+ fraud problem using blockchain immutability + fleet-first design. Our MVP is achievable in 3 months on DUAL Network at &lt;$0.01/event. We have founder-led distribution (fleet ops background) + strategic advisors (Samsara PM). $500K pre-seed funds 18 months to Series A, targeting $500K-$2M ARR by month 12.</w:t>
      </w:r>
    </w:p>
    <w:p>
      <w:pPr>
        <w:jc w:val="center"/>
      </w:pPr>
      <w:r>
        <w:rPr>
          <w:color w:val="666666"/>
          <w:sz w:val="20"/>
          <w:szCs w:val="20"/>
        </w:rPr>
        <w:t xml:space="preserve">Contact: hello@fleetiq.io | DUAL Network | April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F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3B82F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2026-04-01T10:39:15.538Z</dcterms:created>
  <dcterms:modified xsi:type="dcterms:W3CDTF">2026-04-01T10:39:15.538Z</dcterms:modified>
</cp:coreProperties>
</file>

<file path=docProps/custom.xml><?xml version="1.0" encoding="utf-8"?>
<Properties xmlns="http://schemas.openxmlformats.org/officeDocument/2006/custom-properties" xmlns:vt="http://schemas.openxmlformats.org/officeDocument/2006/docPropsVTypes"/>
</file>