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GridFlow™ — DUAL Network</w:t>
      </w:r>
    </w:p>
    <w:p>
      <w:pPr>
        <w:spacing w:after="240"/>
        <w:jc w:val="center"/>
      </w:pPr>
      <w:r>
        <w:rPr>
          <w:sz w:val="20"/>
          <w:szCs w:val="20"/>
        </w:rPr>
        <w:t xml:space="preserve">Demand-Response Verification &amp; Settlement Ledger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TO: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Pre-Seed Investors &amp; Partners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FROM: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GridFlow™ Team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April 1, 2026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Pre-Seed Funding Request: $500,000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GridFlow™ is a demand-response settlement ledger that verifies DR events, mints credits, and reconciles payments for Community Choice Aggregators (CCAs), Virtual Power Plant (VPP) operators, and demand-response aggregators. We solve a critical infrastructure gap in a $10B+ market where existing settlement is manual, opaque, and slow.</w:t>
      </w:r>
    </w:p>
    <w:p>
      <w:r>
        <w:t xml:space="preserve">We are raising $500K in pre-seed to launch our MVP with a single California CCA (solar + battery assets, flat peak pricing) and achieve 3 CCA customers and $250K+ ARR by end of Year 1.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1. The Problem</w:t>
      </w:r>
    </w:p>
    <w:p>
      <w:r>
        <w:t xml:space="preserve">Demand response is one of the fastest-growing energy markets (growing 25% annually), with a $10B+ addressable market. However, settlement remains fragmented:</w:t>
      </w:r>
    </w:p>
    <w:p>
      <w:pPr>
        <w:pStyle w:val="ListParagraph"/>
        <w:numPr>
          <w:ilvl w:val="0"/>
          <w:numId w:val="2"/>
        </w:numPr>
      </w:pPr>
      <w:r>
        <w:t xml:space="preserve">Smart meter data exists but verification is manual and operator-dependent</w:t>
      </w:r>
    </w:p>
    <w:p>
      <w:pPr>
        <w:pStyle w:val="ListParagraph"/>
        <w:numPr>
          <w:ilvl w:val="0"/>
          <w:numId w:val="2"/>
        </w:numPr>
      </w:pPr>
      <w:r>
        <w:t xml:space="preserve">No standardized ledger for DR events, disputes, 7-30 day settlement delays</w:t>
      </w:r>
    </w:p>
    <w:p>
      <w:pPr>
        <w:pStyle w:val="ListParagraph"/>
        <w:numPr>
          <w:ilvl w:val="0"/>
          <w:numId w:val="2"/>
        </w:numPr>
      </w:pPr>
      <w:r>
        <w:t xml:space="preserve">Aggregators spend 40% of revenue on compliance and settlement</w:t>
      </w:r>
    </w:p>
    <w:p>
      <w:pPr>
        <w:pStyle w:val="ListParagraph"/>
        <w:numPr>
          <w:ilvl w:val="0"/>
          <w:numId w:val="2"/>
        </w:numPr>
      </w:pPr>
      <w:r>
        <w:t xml:space="preserve">CCAs lack operational settlement tools for new assets (solar, battery, EV)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Regulatory momentum (FERC Order 2222) mandates aggregation—infrastructure missing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2. The Solution: GridFlow™</w:t>
      </w:r>
    </w:p>
    <w:p>
      <w:r>
        <w:t xml:space="preserve">GridFlow is a white-label API-first settlement ledger for DR events.</w:t>
      </w:r>
    </w:p>
    <w:p>
      <w:pPr>
        <w:pStyle w:val="ListParagraph"/>
        <w:numPr>
          <w:ilvl w:val="0"/>
          <w:numId w:val="2"/>
        </w:numPr>
      </w:pPr>
      <w:r>
        <w:t xml:space="preserve">Ingests existing smart meter data (no new hardware)</w:t>
      </w:r>
    </w:p>
    <w:p>
      <w:pPr>
        <w:pStyle w:val="ListParagraph"/>
        <w:numPr>
          <w:ilvl w:val="0"/>
          <w:numId w:val="2"/>
        </w:numPr>
      </w:pPr>
      <w:r>
        <w:t xml:space="preserve">Verifies DR event vs. baseline using state machine</w:t>
      </w:r>
    </w:p>
    <w:p>
      <w:pPr>
        <w:pStyle w:val="ListParagraph"/>
        <w:numPr>
          <w:ilvl w:val="0"/>
          <w:numId w:val="2"/>
        </w:numPr>
      </w:pPr>
      <w:r>
        <w:t xml:space="preserve">Mints credits and settles: Triggered, Verified, Credited, Settled, Reconciled</w:t>
      </w:r>
    </w:p>
    <w:p>
      <w:pPr>
        <w:pStyle w:val="ListParagraph"/>
        <w:numPr>
          <w:ilvl w:val="0"/>
          <w:numId w:val="2"/>
        </w:numPr>
      </w:pPr>
      <w:r>
        <w:t xml:space="preserve">REST API integration with CCAs billing and CRM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Auditable: 24-hour settlement SLAs, monthly reconciliation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3. Market Opportunity &amp; Traction</w:t>
      </w:r>
    </w:p>
    <w:p>
      <w:pPr>
        <w:pStyle w:val="Heading2"/>
      </w:pPr>
      <w:r>
        <w:t xml:space="preserve">TAM</w:t>
      </w:r>
    </w:p>
    <w:p>
      <w:pPr>
        <w:pStyle w:val="ListParagraph"/>
        <w:numPr>
          <w:ilvl w:val="0"/>
          <w:numId w:val="2"/>
        </w:numPr>
      </w:pPr>
      <w:r>
        <w:t xml:space="preserve">Demand Response: $10B+ annually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Distributed Energy (solar, battery, EV): $100B+ annually</w:t>
      </w:r>
    </w:p>
    <w:p>
      <w:pPr>
        <w:pStyle w:val="Heading2"/>
      </w:pPr>
      <w:r>
        <w:t xml:space="preserve">Current Traction</w:t>
      </w:r>
    </w:p>
    <w:p>
      <w:pPr>
        <w:pStyle w:val="ListParagraph"/>
        <w:numPr>
          <w:ilvl w:val="0"/>
          <w:numId w:val="2"/>
        </w:numPr>
      </w:pPr>
      <w:r>
        <w:t xml:space="preserve">LOI from 1 California CCA</w:t>
      </w:r>
    </w:p>
    <w:p>
      <w:pPr>
        <w:pStyle w:val="ListParagraph"/>
        <w:numPr>
          <w:ilvl w:val="0"/>
          <w:numId w:val="2"/>
        </w:numPr>
      </w:pPr>
      <w:r>
        <w:t xml:space="preserve">3 aggregators in pilot stage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Technical PoC live with meter verification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4. Revenue Model</w:t>
      </w:r>
    </w:p>
    <w:p>
      <w:pPr>
        <w:pStyle w:val="Heading2"/>
      </w:pPr>
      <w:r>
        <w:t xml:space="preserve">Dual Revenue Streams</w:t>
      </w:r>
    </w:p>
    <w:p>
      <w:pPr>
        <w:pStyle w:val="ListParagraph"/>
        <w:numPr>
          <w:ilvl w:val="0"/>
          <w:numId w:val="2"/>
        </w:numPr>
      </w:pPr>
      <w:r>
        <w:t xml:space="preserve">Per-kWh Settlement Fee: $0.01-$0.05/kWh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SaaS Subscription: $5K-$20K/month per CCA</w:t>
      </w:r>
    </w:p>
    <w:p>
      <w:pPr>
        <w:pStyle w:val="Heading2"/>
      </w:pPr>
      <w:r>
        <w:t xml:space="preserve">Year 1 Projection</w:t>
      </w:r>
    </w:p>
    <w:p>
      <w:pPr>
        <w:pStyle w:val="ListParagraph"/>
        <w:numPr>
          <w:ilvl w:val="0"/>
          <w:numId w:val="2"/>
        </w:numPr>
      </w:pPr>
      <w:r>
        <w:t xml:space="preserve">1 CCA + 2 aggregators (M6): $55K-$160K</w:t>
      </w:r>
    </w:p>
    <w:p>
      <w:pPr>
        <w:pStyle w:val="ListParagraph"/>
        <w:numPr>
          <w:ilvl w:val="0"/>
          <w:numId w:val="2"/>
        </w:numPr>
      </w:pPr>
      <w:r>
        <w:t xml:space="preserve">Scale to 3 CCAs by M12: $250K ARR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Breakeven: Month 24</w:t>
      </w:r>
    </w:p>
    <w:p>
      <w:pPr>
        <w:pStyle w:val="Heading1"/>
      </w:pPr>
      <w:r>
        <w:t xml:space="preserve">5. Use of Funds ($500K)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Allocation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Product Development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$225K (45%)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Sales &amp; Partnerships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$150K (30%)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Operations &amp; Legal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$75K (15%)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Contingency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$50K (10%)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6. Conclusion</w:t>
      </w:r>
    </w:p>
    <w:p>
      <w:r>
        <w:t xml:space="preserve">GridFlow solves a critical infrastructure gap in the $10B+ demand-response market. With $500K pre-seed, we launch MVP, onboard 3 CCAs, and achieve $250K+ ARR by EOY—positioning for Series A and a multi-billion-dollar energy platform.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1A0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90" w:before="180"/>
      <w:outlineLvl w:val="1"/>
    </w:pPr>
    <w:rPr>
      <w:rFonts w:ascii="Arial" w:cs="Arial" w:eastAsia="Arial" w:hAnsi="Arial"/>
      <w:b/>
      <w:bCs/>
      <w:color w:val="1F8C3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2026-04-01T10:27:06.999Z</dcterms:created>
  <dcterms:modified xsi:type="dcterms:W3CDTF">2026-04-01T10:27:07.000Z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