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tabs>
          <w:tab w:val="right" w:pos="max"/>
        </w:tabs>
        <w:spacing w:after="240"/>
      </w:pPr>
      <w:r>
        <w:rPr>
          <w:b/>
          <w:bCs/>
        </w:rPr>
        <w:t xml:space="preserve">CONFIDENTIAL</w:t>
      </w:r>
      <w:r>
        <w:t xml:space="preserve">	April 2026</w:t>
      </w:r>
    </w:p>
    <w:p>
      <w:pPr>
        <w:spacing w:after="120"/>
      </w:pPr>
      <w:r>
        <w:rPr>
          <w:b/>
          <w:bCs/>
          <w:sz w:val="32"/>
          <w:szCs w:val="32"/>
        </w:rPr>
        <w:t xml:space="preserve">Grid Shares™ Pre-Seed Funding Memo</w:t>
      </w:r>
    </w:p>
    <w:p>
      <w:pPr>
        <w:spacing w:after="360"/>
      </w:pPr>
      <w:r>
        <w:t xml:space="preserve">DePIN Revenue-Sharing Infrastructure Tokens</w:t>
      </w:r>
    </w:p>
    <w:p>
      <w:pPr>
        <w:pStyle w:val="Heading1"/>
      </w:pPr>
      <w:r>
        <w:t xml:space="preserve">Executive Summary</w:t>
      </w:r>
    </w:p>
    <w:p>
      <w:r>
        <w:t xml:space="preserve">Grid Shares™ is a DePIN-native protocol for fractional ownership and automated revenue distribution of physical infrastructure assets. We enable tokenization of solar panels, EV chargers, 5G nodes, and compute clusters, allowing retail and institutional investors to participate in infrastructure returns with sub-second settlement and full regulatory compliance.</w:t>
      </w:r>
    </w:p>
    <w:p>
      <w:pPr>
        <w:spacing w:after="240"/>
      </w:pPr>
      <w:r>
        <w:t xml:space="preserve">Our MVP targets a 10-panel solar farm with live revenue distribution. We seek $500K pre-seed to develop smart contracts, establish partnerships, deploy hardware, and achieve Series A-ready metrics.</w:t>
      </w:r>
    </w:p>
    <w:p>
      <w:pPr>
        <w:pStyle w:val="Heading1"/>
      </w:pPr>
      <w:r>
        <w:t xml:space="preserve">Market Opportunity</w:t>
      </w:r>
    </w:p>
    <w:p>
      <w:pPr>
        <w:pStyle w:val="Heading2"/>
      </w:pPr>
      <w:r>
        <w:t xml:space="preserve">TAM &amp; Growth</w:t>
      </w:r>
    </w:p>
    <w:p>
      <w:pPr>
        <w:pStyle w:val="ListParagraph"/>
        <w:numPr>
          <w:ilvl w:val="0"/>
          <w:numId w:val="{bullets-0}"/>
        </w:numPr>
      </w:pPr>
      <w:r>
        <w:t xml:space="preserve">DePIN venture capital: $744M to date; explosive growth trajectory</w:t>
      </w:r>
    </w:p>
    <w:p>
      <w:pPr>
        <w:pStyle w:val="ListParagraph"/>
        <w:numPr>
          <w:ilvl w:val="0"/>
          <w:numId w:val="{bullets-0}"/>
        </w:numPr>
      </w:pPr>
      <w:r>
        <w:t xml:space="preserve">Fractional infrastructure market: $50B+ addressable TAM</w:t>
      </w:r>
    </w:p>
    <w:p>
      <w:pPr>
        <w:pStyle w:val="ListParagraph"/>
        <w:numPr>
          <w:ilvl w:val="0"/>
          <w:numId w:val="{bullets-0}"/>
        </w:numPr>
      </w:pPr>
      <w:r>
        <w:t xml:space="preserve">Global renewable energy capex: $500B annually</w:t>
      </w:r>
    </w:p>
    <w:p>
      <w:pPr>
        <w:pStyle w:val="ListParagraph"/>
        <w:numPr>
          <w:ilvl w:val="0"/>
          <w:numId w:val="{bullets-0}"/>
        </w:numPr>
        <w:spacing w:after="240"/>
      </w:pPr>
      <w:r>
        <w:t xml:space="preserve">Secondary market opportunity (trading, derivatives): Additional $10B+</w:t>
      </w:r>
    </w:p>
    <w:p>
      <w:pPr>
        <w:pStyle w:val="Heading2"/>
      </w:pPr>
      <w:r>
        <w:t xml:space="preserve">Target Buyers</w:t>
      </w:r>
    </w:p>
    <w:p>
      <w:pPr>
        <w:pStyle w:val="ListParagraph"/>
        <w:numPr>
          <w:ilvl w:val="0"/>
          <w:numId w:val="{bullets-0}"/>
        </w:numPr>
      </w:pPr>
      <w:r>
        <w:t xml:space="preserve">DePIN projects seeking asset monetization (Helium, Render, Arweave)</w:t>
      </w:r>
    </w:p>
    <w:p>
      <w:pPr>
        <w:pStyle w:val="ListParagraph"/>
        <w:numPr>
          <w:ilvl w:val="0"/>
          <w:numId w:val="{bullets-0}"/>
        </w:numPr>
      </w:pPr>
      <w:r>
        <w:t xml:space="preserve">Renewable energy developers requiring fractional capital</w:t>
      </w:r>
    </w:p>
    <w:p>
      <w:pPr>
        <w:pStyle w:val="ListParagraph"/>
        <w:numPr>
          <w:ilvl w:val="0"/>
          <w:numId w:val="{bullets-0}"/>
        </w:numPr>
      </w:pPr>
      <w:r>
        <w:t xml:space="preserve">Infrastructure funds seeking tokenized returns</w:t>
      </w:r>
    </w:p>
    <w:p>
      <w:pPr>
        <w:pStyle w:val="ListParagraph"/>
        <w:numPr>
          <w:ilvl w:val="0"/>
          <w:numId w:val="{bullets-0}"/>
        </w:numPr>
        <w:spacing w:after="360"/>
      </w:pPr>
      <w:r>
        <w:t xml:space="preserve">Retail investors with $500–$50K allocations to infrastructure</w:t>
      </w:r>
    </w:p>
    <w:p>
      <w:pPr>
        <w:pStyle w:val="Heading1"/>
      </w:pPr>
      <w:r>
        <w:t xml:space="preserve">The Solution</w:t>
      </w:r>
    </w:p>
    <w:p>
      <w:r>
        <w:t xml:space="preserve">Grid Shares™ provides:</w:t>
      </w:r>
    </w:p>
    <w:p>
      <w:pPr>
        <w:pStyle w:val="ListParagraph"/>
        <w:numPr>
          <w:ilvl w:val="0"/>
          <w:numId w:val="{bullets-0}"/>
        </w:numPr>
      </w:pPr>
      <w:r>
        <w:t xml:space="preserve">Fractional ownership tokens (ERC-1155) backed by physical assets</w:t>
      </w:r>
    </w:p>
    <w:p>
      <w:pPr>
        <w:pStyle w:val="ListParagraph"/>
        <w:numPr>
          <w:ilvl w:val="0"/>
          <w:numId w:val="{bullets-0}"/>
        </w:numPr>
      </w:pPr>
      <w:r>
        <w:t xml:space="preserve">Performance tracking (kWh, uptime, maintenance schedule)</w:t>
      </w:r>
    </w:p>
    <w:p>
      <w:pPr>
        <w:pStyle w:val="ListParagraph"/>
        <w:numPr>
          <w:ilvl w:val="0"/>
          <w:numId w:val="{bullets-0}"/>
        </w:numPr>
      </w:pPr>
      <w:r>
        <w:t xml:space="preserve">Automated revenue distribution via Event Bus (sub-second finality)</w:t>
      </w:r>
    </w:p>
    <w:p>
      <w:pPr>
        <w:pStyle w:val="ListParagraph"/>
        <w:numPr>
          <w:ilvl w:val="0"/>
          <w:numId w:val="{bullets-0}"/>
        </w:numPr>
      </w:pPr>
      <w:r>
        <w:t xml:space="preserve">State machine for asset lifecycle (Deployed → Operational → Maintenance → Degraded → Decommissioned)</w:t>
      </w:r>
    </w:p>
    <w:p>
      <w:pPr>
        <w:pStyle w:val="ListParagraph"/>
        <w:numPr>
          <w:ilvl w:val="0"/>
          <w:numId w:val="{bullets-0}"/>
        </w:numPr>
        <w:spacing w:after="360"/>
      </w:pPr>
      <w:r>
        <w:t xml:space="preserve">Compliance-first: Built-in KYC/AML, securities regulation, audit trails</w:t>
      </w:r>
    </w:p>
    <w:p>
      <w:pPr>
        <w:pStyle w:val="Heading1"/>
      </w:pPr>
      <w:r>
        <w:t xml:space="preserve">Minimum Viable Product</w:t>
      </w:r>
    </w:p>
    <w:p>
      <w:r>
        <w:t xml:space="preserve">Single solar farm (10 panels) generating real revenue:</w:t>
      </w:r>
    </w:p>
    <w:p>
      <w:pPr>
        <w:pStyle w:val="ListParagraph"/>
        <w:numPr>
          <w:ilvl w:val="0"/>
          <w:numId w:val="{bullets-0}"/>
        </w:numPr>
      </w:pPr>
      <w:r>
        <w:t xml:space="preserve">Smart contracts (ERC-1155, Event Bus integration, distribution logic)</w:t>
      </w:r>
    </w:p>
    <w:p>
      <w:pPr>
        <w:pStyle w:val="ListParagraph"/>
        <w:numPr>
          <w:ilvl w:val="0"/>
          <w:numId w:val="{bullets-0}"/>
        </w:numPr>
      </w:pPr>
      <w:r>
        <w:t xml:space="preserve">Solar farm partnership (signed, hardware deployed)</w:t>
      </w:r>
    </w:p>
    <w:p>
      <w:pPr>
        <w:pStyle w:val="ListParagraph"/>
        <w:numPr>
          <w:ilvl w:val="0"/>
          <w:numId w:val="{bullets-0}"/>
        </w:numPr>
      </w:pPr>
      <w:r>
        <w:t xml:space="preserve">Automated hourly kWh revenue settlements</w:t>
      </w:r>
    </w:p>
    <w:p>
      <w:pPr>
        <w:pStyle w:val="ListParagraph"/>
        <w:numPr>
          <w:ilvl w:val="0"/>
          <w:numId w:val="{bullets-0}"/>
        </w:numPr>
      </w:pPr>
      <w:r>
        <w:t xml:space="preserve">Performance dashboard (real-time diagnostics)</w:t>
      </w:r>
    </w:p>
    <w:p>
      <w:pPr>
        <w:pStyle w:val="ListParagraph"/>
        <w:numPr>
          <w:ilvl w:val="0"/>
          <w:numId w:val="{bullets-0}"/>
        </w:numPr>
        <w:spacing w:after="360"/>
      </w:pPr>
      <w:r>
        <w:t xml:space="preserve">Compliance framework (Regulation A+ qualified offering)</w:t>
      </w:r>
    </w:p>
    <w:p>
      <w:pPr>
        <w:pStyle w:val="Heading1"/>
      </w:pPr>
      <w:r>
        <w:t xml:space="preserve">Revenue Model</w:t>
      </w:r>
    </w:p>
    <w:p>
      <w:r>
        <w:t xml:space="preserve">Three revenue streams:</w:t>
      </w:r>
    </w:p>
    <w:p>
      <w:pPr>
        <w:pStyle w:val="ListParagraph"/>
        <w:numPr>
          <w:ilvl w:val="0"/>
          <w:numId w:val="{numbers-0}"/>
        </w:numPr>
      </w:pPr>
      <w:r>
        <w:rPr>
          <w:b/>
          <w:bCs/>
        </w:rPr>
        <w:t xml:space="preserve">Distribution commission: </w:t>
      </w:r>
      <w:r>
        <w:t xml:space="preserve">1–2% of distributed revenue (recurring, scales with assets)</w:t>
      </w:r>
    </w:p>
    <w:p>
      <w:pPr>
        <w:pStyle w:val="ListParagraph"/>
        <w:numPr>
          <w:ilvl w:val="0"/>
          <w:numId w:val="{numbers-0}"/>
        </w:numPr>
      </w:pPr>
      <w:r>
        <w:rPr>
          <w:b/>
          <w:bCs/>
        </w:rPr>
        <w:t xml:space="preserve">SaaS platform fees: </w:t>
      </w:r>
      <w:r>
        <w:t xml:space="preserve">$5K–20K per asset per month (hosting, compliance, support)</w:t>
      </w:r>
    </w:p>
    <w:p>
      <w:pPr>
        <w:pStyle w:val="ListParagraph"/>
        <w:numPr>
          <w:ilvl w:val="0"/>
          <w:numId w:val="{numbers-0}"/>
        </w:numPr>
      </w:pPr>
      <w:r>
        <w:rPr>
          <w:b/>
          <w:bCs/>
        </w:rPr>
        <w:t xml:space="preserve">Value-added services: </w:t>
      </w:r>
      <w:r>
        <w:t xml:space="preserve">Insurance integration, secondary market, derivatives</w:t>
      </w:r>
    </w:p>
    <w:p>
      <w:pPr>
        <w:spacing w:after="120"/>
      </w:pPr>
      <w:r>
        <w:t xml:space="preserve"/>
      </w:r>
    </w:p>
    <w:p>
      <w:pPr>
        <w:spacing w:after="60"/>
      </w:pPr>
      <w:r>
        <w:rPr>
          <w:b/>
          <w:bCs/>
        </w:rPr>
        <w:t xml:space="preserve">Conservative 5-year projection: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D5E8F0" w:val="clear"/>
          </w:tcPr>
          <w:p>
            <w:r>
              <w:rPr>
                <w:b/>
                <w:bCs/>
              </w:rPr>
              <w:t xml:space="preserve">Year</w:t>
            </w:r>
          </w:p>
        </w:tc>
        <w:tc>
          <w:tcPr>
            <w:tcW w:type="dxa" w:w="2340"/>
            <w:tcBorders>
              <w:top w:val="single" w:color="CCCCCC" w:sz="1"/>
              <w:left w:val="single" w:color="CCCCCC" w:sz="1"/>
              <w:bottom w:val="single" w:color="CCCCCC" w:sz="1"/>
              <w:right w:val="single" w:color="CCCCCC" w:sz="1"/>
            </w:tcBorders>
            <w:shd w:fill="D5E8F0" w:val="clear"/>
          </w:tcPr>
          <w:p>
            <w:r>
              <w:rPr>
                <w:b/>
                <w:bCs/>
              </w:rPr>
              <w:t xml:space="preserve">ARR ($M)</w:t>
            </w:r>
          </w:p>
        </w:tc>
        <w:tc>
          <w:tcPr>
            <w:tcW w:type="dxa" w:w="2340"/>
            <w:tcBorders>
              <w:top w:val="single" w:color="CCCCCC" w:sz="1"/>
              <w:left w:val="single" w:color="CCCCCC" w:sz="1"/>
              <w:bottom w:val="single" w:color="CCCCCC" w:sz="1"/>
              <w:right w:val="single" w:color="CCCCCC" w:sz="1"/>
            </w:tcBorders>
            <w:shd w:fill="D5E8F0" w:val="clear"/>
          </w:tcPr>
          <w:p>
            <w:r>
              <w:rPr>
                <w:b/>
                <w:bCs/>
              </w:rPr>
              <w:t xml:space="preserve">Assets</w:t>
            </w:r>
          </w:p>
        </w:tc>
        <w:tc>
          <w:tcPr>
            <w:tcW w:type="dxa" w:w="2340"/>
            <w:tcBorders>
              <w:top w:val="single" w:color="CCCCCC" w:sz="1"/>
              <w:left w:val="single" w:color="CCCCCC" w:sz="1"/>
              <w:bottom w:val="single" w:color="CCCCCC" w:sz="1"/>
              <w:right w:val="single" w:color="CCCCCC" w:sz="1"/>
            </w:tcBorders>
            <w:shd w:fill="D5E8F0" w:val="clear"/>
          </w:tcPr>
          <w:p>
            <w:r>
              <w:rPr>
                <w:b/>
                <w:bCs/>
              </w:rPr>
              <w:t xml:space="preserve">Holders</w:t>
            </w:r>
          </w:p>
        </w:tc>
      </w:tr>
      <w:tr>
        <w:tc>
          <w:tcPr>
            <w:tcW w:type="dxa" w:w="2340"/>
            <w:tcBorders>
              <w:top w:val="single" w:color="CCCCCC" w:sz="1"/>
              <w:left w:val="single" w:color="CCCCCC" w:sz="1"/>
              <w:bottom w:val="single" w:color="CCCCCC" w:sz="1"/>
              <w:right w:val="single" w:color="CCCCCC" w:sz="1"/>
            </w:tcBorders>
          </w:tcPr>
          <w:p>
            <w:r>
              <w:t xml:space="preserve">Y1</w:t>
            </w:r>
          </w:p>
        </w:tc>
        <w:tc>
          <w:tcPr>
            <w:tcW w:type="dxa" w:w="2340"/>
            <w:tcBorders>
              <w:top w:val="single" w:color="CCCCCC" w:sz="1"/>
              <w:left w:val="single" w:color="CCCCCC" w:sz="1"/>
              <w:bottom w:val="single" w:color="CCCCCC" w:sz="1"/>
              <w:right w:val="single" w:color="CCCCCC" w:sz="1"/>
            </w:tcBorders>
          </w:tcPr>
          <w:p>
            <w:r>
              <w:t xml:space="preserve">$0.5</w:t>
            </w:r>
          </w:p>
        </w:tc>
        <w:tc>
          <w:tcPr>
            <w:tcW w:type="dxa" w:w="2340"/>
            <w:tcBorders>
              <w:top w:val="single" w:color="CCCCCC" w:sz="1"/>
              <w:left w:val="single" w:color="CCCCCC" w:sz="1"/>
              <w:bottom w:val="single" w:color="CCCCCC" w:sz="1"/>
              <w:right w:val="single" w:color="CCCCCC" w:sz="1"/>
            </w:tcBorders>
          </w:tcPr>
          <w:p>
            <w:r>
              <w:t xml:space="preserve">1</w:t>
            </w:r>
          </w:p>
        </w:tc>
        <w:tc>
          <w:tcPr>
            <w:tcW w:type="dxa" w:w="2340"/>
            <w:tcBorders>
              <w:top w:val="single" w:color="CCCCCC" w:sz="1"/>
              <w:left w:val="single" w:color="CCCCCC" w:sz="1"/>
              <w:bottom w:val="single" w:color="CCCCCC" w:sz="1"/>
              <w:right w:val="single" w:color="CCCCCC" w:sz="1"/>
            </w:tcBorders>
          </w:tcPr>
          <w:p>
            <w:r>
              <w:t xml:space="preserve">50</w:t>
            </w:r>
          </w:p>
        </w:tc>
      </w:tr>
      <w:tr>
        <w:tc>
          <w:tcPr>
            <w:tcW w:type="dxa" w:w="2340"/>
            <w:tcBorders>
              <w:top w:val="single" w:color="CCCCCC" w:sz="1"/>
              <w:left w:val="single" w:color="CCCCCC" w:sz="1"/>
              <w:bottom w:val="single" w:color="CCCCCC" w:sz="1"/>
              <w:right w:val="single" w:color="CCCCCC" w:sz="1"/>
            </w:tcBorders>
          </w:tcPr>
          <w:p>
            <w:r>
              <w:t xml:space="preserve">Y2</w:t>
            </w:r>
          </w:p>
        </w:tc>
        <w:tc>
          <w:tcPr>
            <w:tcW w:type="dxa" w:w="2340"/>
            <w:tcBorders>
              <w:top w:val="single" w:color="CCCCCC" w:sz="1"/>
              <w:left w:val="single" w:color="CCCCCC" w:sz="1"/>
              <w:bottom w:val="single" w:color="CCCCCC" w:sz="1"/>
              <w:right w:val="single" w:color="CCCCCC" w:sz="1"/>
            </w:tcBorders>
          </w:tcPr>
          <w:p>
            <w:r>
              <w:t xml:space="preserve">$2.5</w:t>
            </w:r>
          </w:p>
        </w:tc>
        <w:tc>
          <w:tcPr>
            <w:tcW w:type="dxa" w:w="2340"/>
            <w:tcBorders>
              <w:top w:val="single" w:color="CCCCCC" w:sz="1"/>
              <w:left w:val="single" w:color="CCCCCC" w:sz="1"/>
              <w:bottom w:val="single" w:color="CCCCCC" w:sz="1"/>
              <w:right w:val="single" w:color="CCCCCC" w:sz="1"/>
            </w:tcBorders>
          </w:tcPr>
          <w:p>
            <w:r>
              <w:t xml:space="preserve">100</w:t>
            </w:r>
          </w:p>
        </w:tc>
        <w:tc>
          <w:tcPr>
            <w:tcW w:type="dxa" w:w="2340"/>
            <w:tcBorders>
              <w:top w:val="single" w:color="CCCCCC" w:sz="1"/>
              <w:left w:val="single" w:color="CCCCCC" w:sz="1"/>
              <w:bottom w:val="single" w:color="CCCCCC" w:sz="1"/>
              <w:right w:val="single" w:color="CCCCCC" w:sz="1"/>
            </w:tcBorders>
          </w:tcPr>
          <w:p>
            <w:r>
              <w:t xml:space="preserve">500</w:t>
            </w:r>
          </w:p>
        </w:tc>
      </w:tr>
      <w:tr>
        <w:tc>
          <w:tcPr>
            <w:tcW w:type="dxa" w:w="2340"/>
            <w:tcBorders>
              <w:top w:val="single" w:color="CCCCCC" w:sz="1"/>
              <w:left w:val="single" w:color="CCCCCC" w:sz="1"/>
              <w:bottom w:val="single" w:color="CCCCCC" w:sz="1"/>
              <w:right w:val="single" w:color="CCCCCC" w:sz="1"/>
            </w:tcBorders>
          </w:tcPr>
          <w:p>
            <w:r>
              <w:t xml:space="preserve">Y5</w:t>
            </w:r>
          </w:p>
        </w:tc>
        <w:tc>
          <w:tcPr>
            <w:tcW w:type="dxa" w:w="2340"/>
            <w:tcBorders>
              <w:top w:val="single" w:color="CCCCCC" w:sz="1"/>
              <w:left w:val="single" w:color="CCCCCC" w:sz="1"/>
              <w:bottom w:val="single" w:color="CCCCCC" w:sz="1"/>
              <w:right w:val="single" w:color="CCCCCC" w:sz="1"/>
            </w:tcBorders>
          </w:tcPr>
          <w:p>
            <w:r>
              <w:t xml:space="preserve">$35</w:t>
            </w:r>
          </w:p>
        </w:tc>
        <w:tc>
          <w:tcPr>
            <w:tcW w:type="dxa" w:w="2340"/>
            <w:tcBorders>
              <w:top w:val="single" w:color="CCCCCC" w:sz="1"/>
              <w:left w:val="single" w:color="CCCCCC" w:sz="1"/>
              <w:bottom w:val="single" w:color="CCCCCC" w:sz="1"/>
              <w:right w:val="single" w:color="CCCCCC" w:sz="1"/>
            </w:tcBorders>
          </w:tcPr>
          <w:p>
            <w:r>
              <w:t xml:space="preserve">1,000</w:t>
            </w:r>
          </w:p>
        </w:tc>
        <w:tc>
          <w:tcPr>
            <w:tcW w:type="dxa" w:w="2340"/>
            <w:tcBorders>
              <w:top w:val="single" w:color="CCCCCC" w:sz="1"/>
              <w:left w:val="single" w:color="CCCCCC" w:sz="1"/>
              <w:bottom w:val="single" w:color="CCCCCC" w:sz="1"/>
              <w:right w:val="single" w:color="CCCCCC" w:sz="1"/>
            </w:tcBorders>
          </w:tcPr>
          <w:p>
            <w:r>
              <w:t xml:space="preserve">50K</w:t>
            </w:r>
          </w:p>
        </w:tc>
      </w:tr>
    </w:tbl>
    <w:p>
      <w:pPr>
        <w:spacing w:after="360"/>
      </w:pPr>
      <w:r>
        <w:t xml:space="preserve"/>
      </w:r>
    </w:p>
    <w:p>
      <w:pPr>
        <w:pStyle w:val="Heading1"/>
      </w:pPr>
      <w:r>
        <w:t xml:space="preserve">DUAL Network Integration</w:t>
      </w:r>
    </w:p>
    <w:p>
      <w:r>
        <w:t xml:space="preserve">Grid Shares is purpose-built for DUAL:</w:t>
      </w:r>
    </w:p>
    <w:p>
      <w:pPr>
        <w:pStyle w:val="ListParagraph"/>
        <w:numPr>
          <w:ilvl w:val="0"/>
          <w:numId w:val="{bullets-0}"/>
        </w:numPr>
      </w:pPr>
      <w:r>
        <w:rPr>
          <w:b/>
          <w:bCs/>
        </w:rPr>
        <w:t xml:space="preserve">Mutable state: </w:t>
      </w:r>
      <w:r>
        <w:t xml:space="preserve">Performance metrics, maintenance schedules, asset status</w:t>
      </w:r>
    </w:p>
    <w:p>
      <w:pPr>
        <w:pStyle w:val="ListParagraph"/>
        <w:numPr>
          <w:ilvl w:val="0"/>
          <w:numId w:val="{bullets-0}"/>
        </w:numPr>
      </w:pPr>
      <w:r>
        <w:rPr>
          <w:b/>
          <w:bCs/>
        </w:rPr>
        <w:t xml:space="preserve">Event Bus: </w:t>
      </w:r>
      <w:r>
        <w:t xml:space="preserve">Revenue detection → instant token holder distributions</w:t>
      </w:r>
    </w:p>
    <w:p>
      <w:pPr>
        <w:pStyle w:val="ListParagraph"/>
        <w:numPr>
          <w:ilvl w:val="0"/>
          <w:numId w:val="{bullets-0}"/>
        </w:numPr>
      </w:pPr>
      <w:r>
        <w:rPr>
          <w:b/>
          <w:bCs/>
        </w:rPr>
        <w:t xml:space="preserve">Compliance layer: </w:t>
      </w:r>
      <w:r>
        <w:t xml:space="preserve">KYC/AML integration, regulatory data, audit trails</w:t>
      </w:r>
    </w:p>
    <w:p>
      <w:pPr>
        <w:pStyle w:val="ListParagraph"/>
        <w:numPr>
          <w:ilvl w:val="0"/>
          <w:numId w:val="{bullets-0}"/>
        </w:numPr>
      </w:pPr>
      <w:r>
        <w:rPr>
          <w:b/>
          <w:bCs/>
        </w:rPr>
        <w:t xml:space="preserve">Geo-positioning: </w:t>
      </w:r>
      <w:r>
        <w:t xml:space="preserve">Physical asset location + smart contract sync</w:t>
      </w:r>
    </w:p>
    <w:p>
      <w:pPr>
        <w:pStyle w:val="ListParagraph"/>
        <w:numPr>
          <w:ilvl w:val="0"/>
          <w:numId w:val="{bullets-0}"/>
        </w:numPr>
        <w:spacing w:after="360"/>
      </w:pPr>
      <w:r>
        <w:rPr>
          <w:b/>
          <w:bCs/>
        </w:rPr>
        <w:t xml:space="preserve">Sub-second finality: </w:t>
      </w:r>
      <w:r>
        <w:t xml:space="preserve">Guaranteed settlement eliminating intermediaries</w:t>
      </w:r>
    </w:p>
    <w:p>
      <w:pPr>
        <w:pStyle w:val="Heading1"/>
      </w:pPr>
      <w:r>
        <w:t xml:space="preserve">Use of $500K Pre-Seed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CCCCCC" w:sz="1"/>
              <w:left w:val="single" w:color="CCCCCC" w:sz="1"/>
              <w:bottom w:val="single" w:color="CCCCCC" w:sz="1"/>
              <w:right w:val="single" w:color="CCCCCC" w:sz="1"/>
            </w:tcBorders>
            <w:shd w:fill="D5E8F0" w:val="clear"/>
          </w:tcPr>
          <w:p>
            <w:r>
              <w:rPr>
                <w:b/>
                <w:bCs/>
              </w:rPr>
              <w:t xml:space="preserve">Category</w:t>
            </w:r>
          </w:p>
        </w:tc>
        <w:tc>
          <w:tcPr>
            <w:tcW w:type="dxa" w:w="4360"/>
            <w:tcBorders>
              <w:top w:val="single" w:color="CCCCCC" w:sz="1"/>
              <w:left w:val="single" w:color="CCCCCC" w:sz="1"/>
              <w:bottom w:val="single" w:color="CCCCCC" w:sz="1"/>
              <w:right w:val="single" w:color="CCCCCC" w:sz="1"/>
            </w:tcBorders>
            <w:shd w:fill="D5E8F0" w:val="clear"/>
          </w:tcPr>
          <w:p>
            <w:r>
              <w:rPr>
                <w:b/>
                <w:bCs/>
              </w:rPr>
              <w:t xml:space="preserve">Amount</w:t>
            </w:r>
          </w:p>
        </w:tc>
      </w:tr>
      <w:tr>
        <w:tc>
          <w:tcPr>
            <w:tcW w:type="dxa" w:w="5000"/>
            <w:tcBorders>
              <w:top w:val="single" w:color="CCCCCC" w:sz="1"/>
              <w:left w:val="single" w:color="CCCCCC" w:sz="1"/>
              <w:bottom w:val="single" w:color="CCCCCC" w:sz="1"/>
              <w:right w:val="single" w:color="CCCCCC" w:sz="1"/>
            </w:tcBorders>
          </w:tcPr>
          <w:p>
            <w:r>
              <w:t xml:space="preserve">Smart contract development &amp; audit</w:t>
            </w:r>
          </w:p>
        </w:tc>
        <w:tc>
          <w:tcPr>
            <w:tcW w:type="dxa" w:w="4360"/>
            <w:tcBorders>
              <w:top w:val="single" w:color="CCCCCC" w:sz="1"/>
              <w:left w:val="single" w:color="CCCCCC" w:sz="1"/>
              <w:bottom w:val="single" w:color="CCCCCC" w:sz="1"/>
              <w:right w:val="single" w:color="CCCCCC" w:sz="1"/>
            </w:tcBorders>
          </w:tcPr>
          <w:p>
            <w:r>
              <w:t xml:space="preserve">$200K</w:t>
            </w:r>
          </w:p>
        </w:tc>
      </w:tr>
      <w:tr>
        <w:tc>
          <w:tcPr>
            <w:tcW w:type="dxa" w:w="5000"/>
            <w:tcBorders>
              <w:top w:val="single" w:color="CCCCCC" w:sz="1"/>
              <w:left w:val="single" w:color="CCCCCC" w:sz="1"/>
              <w:bottom w:val="single" w:color="CCCCCC" w:sz="1"/>
              <w:right w:val="single" w:color="CCCCCC" w:sz="1"/>
            </w:tcBorders>
          </w:tcPr>
          <w:p>
            <w:r>
              <w:t xml:space="preserve">Compliance &amp; legal (securities, KYC/AML)</w:t>
            </w:r>
          </w:p>
        </w:tc>
        <w:tc>
          <w:tcPr>
            <w:tcW w:type="dxa" w:w="4360"/>
            <w:tcBorders>
              <w:top w:val="single" w:color="CCCCCC" w:sz="1"/>
              <w:left w:val="single" w:color="CCCCCC" w:sz="1"/>
              <w:bottom w:val="single" w:color="CCCCCC" w:sz="1"/>
              <w:right w:val="single" w:color="CCCCCC" w:sz="1"/>
            </w:tcBorders>
          </w:tcPr>
          <w:p>
            <w:r>
              <w:t xml:space="preserve">$100K</w:t>
            </w:r>
          </w:p>
        </w:tc>
      </w:tr>
      <w:tr>
        <w:tc>
          <w:tcPr>
            <w:tcW w:type="dxa" w:w="5000"/>
            <w:tcBorders>
              <w:top w:val="single" w:color="CCCCCC" w:sz="1"/>
              <w:left w:val="single" w:color="CCCCCC" w:sz="1"/>
              <w:bottom w:val="single" w:color="CCCCCC" w:sz="1"/>
              <w:right w:val="single" w:color="CCCCCC" w:sz="1"/>
            </w:tcBorders>
          </w:tcPr>
          <w:p>
            <w:r>
              <w:t xml:space="preserve">MVP: Solar farm partnership + hardware</w:t>
            </w:r>
          </w:p>
        </w:tc>
        <w:tc>
          <w:tcPr>
            <w:tcW w:type="dxa" w:w="4360"/>
            <w:tcBorders>
              <w:top w:val="single" w:color="CCCCCC" w:sz="1"/>
              <w:left w:val="single" w:color="CCCCCC" w:sz="1"/>
              <w:bottom w:val="single" w:color="CCCCCC" w:sz="1"/>
              <w:right w:val="single" w:color="CCCCCC" w:sz="1"/>
            </w:tcBorders>
          </w:tcPr>
          <w:p>
            <w:r>
              <w:t xml:space="preserve">$100K</w:t>
            </w:r>
          </w:p>
        </w:tc>
      </w:tr>
      <w:tr>
        <w:tc>
          <w:tcPr>
            <w:tcW w:type="dxa" w:w="5000"/>
            <w:tcBorders>
              <w:top w:val="single" w:color="CCCCCC" w:sz="1"/>
              <w:left w:val="single" w:color="CCCCCC" w:sz="1"/>
              <w:bottom w:val="single" w:color="CCCCCC" w:sz="1"/>
              <w:right w:val="single" w:color="CCCCCC" w:sz="1"/>
            </w:tcBorders>
          </w:tcPr>
          <w:p>
            <w:r>
              <w:t xml:space="preserve">Marketing &amp; team (4-6 people)</w:t>
            </w:r>
          </w:p>
        </w:tc>
        <w:tc>
          <w:tcPr>
            <w:tcW w:type="dxa" w:w="4360"/>
            <w:tcBorders>
              <w:top w:val="single" w:color="CCCCCC" w:sz="1"/>
              <w:left w:val="single" w:color="CCCCCC" w:sz="1"/>
              <w:bottom w:val="single" w:color="CCCCCC" w:sz="1"/>
              <w:right w:val="single" w:color="CCCCCC" w:sz="1"/>
            </w:tcBorders>
          </w:tcPr>
          <w:p>
            <w:r>
              <w:t xml:space="preserve">$100K</w:t>
            </w:r>
          </w:p>
        </w:tc>
      </w:tr>
    </w:tbl>
    <w:p>
      <w:pPr>
        <w:spacing w:after="360"/>
      </w:pPr>
      <w:r>
        <w:t xml:space="preserve"/>
      </w:r>
    </w:p>
    <w:p>
      <w:pPr>
        <w:pStyle w:val="Heading1"/>
      </w:pPr>
      <w:r>
        <w:t xml:space="preserve">16-Week Milestone Plan</w:t>
      </w:r>
    </w:p>
    <w:p>
      <w:pPr>
        <w:pStyle w:val="ListParagraph"/>
        <w:numPr>
          <w:ilvl w:val="0"/>
          <w:numId w:val="{bullets-0}"/>
        </w:numPr>
      </w:pPr>
      <w:r>
        <w:rPr>
          <w:b/>
          <w:bCs/>
        </w:rPr>
        <w:t xml:space="preserve">Week 8: </w:t>
      </w:r>
      <w:r>
        <w:t xml:space="preserve">Smart contracts complete &amp; audited</w:t>
      </w:r>
    </w:p>
    <w:p>
      <w:pPr>
        <w:pStyle w:val="ListParagraph"/>
        <w:numPr>
          <w:ilvl w:val="0"/>
          <w:numId w:val="{bullets-0}"/>
        </w:numPr>
      </w:pPr>
      <w:r>
        <w:rPr>
          <w:b/>
          <w:bCs/>
        </w:rPr>
        <w:t xml:space="preserve">Week 12: </w:t>
      </w:r>
      <w:r>
        <w:t xml:space="preserve">Solar farm partnership signed, hardware deployed</w:t>
      </w:r>
    </w:p>
    <w:p>
      <w:pPr>
        <w:pStyle w:val="ListParagraph"/>
        <w:numPr>
          <w:ilvl w:val="0"/>
          <w:numId w:val="{bullets-0}"/>
        </w:numPr>
        <w:spacing w:after="360"/>
      </w:pPr>
      <w:r>
        <w:rPr>
          <w:b/>
          <w:bCs/>
        </w:rPr>
        <w:t xml:space="preserve">Week 16: </w:t>
      </w:r>
      <w:r>
        <w:t xml:space="preserve">Live revenue distribution, first 50 token holders</w:t>
      </w:r>
    </w:p>
    <w:p>
      <w:pPr>
        <w:pStyle w:val="Heading1"/>
      </w:pPr>
      <w:r>
        <w:t xml:space="preserve">Investment Thesis</w:t>
      </w:r>
    </w:p>
    <w:p>
      <w:r>
        <w:t xml:space="preserve">Grid Shares solves three critical problems in DePIN:</w:t>
      </w:r>
    </w:p>
    <w:p>
      <w:pPr>
        <w:pStyle w:val="ListParagraph"/>
        <w:numPr>
          <w:ilvl w:val="0"/>
          <w:numId w:val="{numbers-0}"/>
        </w:numPr>
      </w:pPr>
      <w:r>
        <w:t xml:space="preserve">Infrastructure tokenization: First platform combining fractional ownership + revenue sharing + compliance</w:t>
      </w:r>
    </w:p>
    <w:p>
      <w:pPr>
        <w:pStyle w:val="ListParagraph"/>
        <w:numPr>
          <w:ilvl w:val="0"/>
          <w:numId w:val="{numbers-0}"/>
        </w:numPr>
      </w:pPr>
      <w:r>
        <w:t xml:space="preserve">Capital efficiency: Opens $50B+ fractional infrastructure market to retail investors</w:t>
      </w:r>
    </w:p>
    <w:p>
      <w:pPr>
        <w:pStyle w:val="ListParagraph"/>
        <w:numPr>
          <w:ilvl w:val="0"/>
          <w:numId w:val="{numbers-0}"/>
        </w:numPr>
      </w:pPr>
      <w:r>
        <w:t xml:space="preserve">DUAL advantage: Native integration with mutable state and Event Bus removes regulatory friction</w:t>
      </w:r>
    </w:p>
    <w:p>
      <w:pPr>
        <w:spacing w:after="120"/>
      </w:pPr>
      <w:r>
        <w:t xml:space="preserve"/>
      </w:r>
    </w:p>
    <w:p>
      <w:r>
        <w:t xml:space="preserve">We project $2M+ ARR by Month 18 and $35M ARR by Year 5. This pre-seed investment positions the company for a strong Series A and category leadership in tokenized infrastructure.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sz w:val="32"/>
      <w:szCs w:val="32"/>
    </w:rPr>
  </w:style>
  <w:style w:type="paragraph" w:styleId="Heading2">
    <w:name w:val="Heading 2"/>
    <w:basedOn w:val="Normal"/>
    <w:next w:val="Normal"/>
    <w:qFormat/>
    <w:pPr>
      <w:spacing w:after="100" w:before="180"/>
      <w:outlineLvl w:val="1"/>
    </w:pPr>
    <w:rPr>
      <w:rFonts w:ascii="Arial" w:cs="Arial" w:eastAsia="Arial" w:hAnsi="Arial"/>
      <w:b/>
      <w:bCs/>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2026-04-01T09:38:44.405Z</dcterms:created>
  <dcterms:modified xsi:type="dcterms:W3CDTF">2026-04-01T09:38:44.405Z</dcterms:modified>
</cp:coreProperties>
</file>

<file path=docProps/custom.xml><?xml version="1.0" encoding="utf-8"?>
<Properties xmlns="http://schemas.openxmlformats.org/officeDocument/2006/custom-properties" xmlns:vt="http://schemas.openxmlformats.org/officeDocument/2006/docPropsVTypes"/>
</file>