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sz w:val="28"/>
          <w:szCs w:val="28"/>
        </w:rPr>
        <w:t xml:space="preserve">HarvestChain™ — DUAL Network</w:t>
      </w:r>
    </w:p>
    <w:p>
      <w:pPr>
        <w:spacing w:after="120"/>
        <w:jc w:val="center"/>
      </w:pPr>
      <w:r>
        <w:rPr>
          <w:sz w:val="24"/>
          <w:szCs w:val="24"/>
        </w:rPr>
        <w:t xml:space="preserve">Pre-Seed Investment Memorandum</w:t>
      </w:r>
    </w:p>
    <w:p>
      <w:pPr>
        <w:spacing w:after="240"/>
        <w:jc w:val="center"/>
      </w:pPr>
      <w:r>
        <w:rPr>
          <w:sz w:val="20"/>
          <w:szCs w:val="20"/>
        </w:rPr>
        <w:t xml:space="preserve">April 2026</w:t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HarvestChain™ tokenizes harvest and delivery milestones for contract farming, enabling immutable proof-of-performance for farmers, traders, and insurers. We are raising $500K pre-seed to build the MVP—a single-commodity, single-trader-pair system with 3 delivery milestones and farmer attestation via mobile.</w:t>
      </w:r>
    </w:p>
    <w:p>
      <w:r>
        <w:t xml:space="preserve">Market opportunity: $10T commodity trading + $25B AgTech. Initial TAM: $50–100M (attestation SaaS for 500+ largest traders). Year 1 revenue: $50K–$100K from 200–500 contracts. Year 5 projection: $35M+ ARR.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Problem</w:t>
      </w:r>
    </w:p>
    <w:p>
      <w:pPr>
        <w:spacing w:after="120"/>
      </w:pPr>
      <w:r>
        <w:t xml:space="preserve">Contract farming drives 40% of global agricultural output but suffers from:</w:t>
      </w:r>
    </w:p>
    <w:p>
      <w:pPr>
        <w:spacing w:after="240"/>
      </w:pPr>
      <w:r>
        <w:rPr>
          <w:b w:val="false"/>
          <w:bCs w:val="false"/>
        </w:rPr>
        <w:t xml:space="preserve">Opaqueness: No real-time proof of planting, growth, or harvest status</w:t>
      </w:r>
      <w:r>
        <w:t xml:space="preserve">
</w:t>
      </w:r>
      <w:r>
        <w:rPr>
          <w:b w:val="false"/>
          <w:bCs w:val="false"/>
        </w:rPr>
        <w:t xml:space="preserve">Verification failures: Traders cannot independently verify delivery milestones or product quality</w:t>
      </w:r>
      <w:r>
        <w:t xml:space="preserve">
</w:t>
      </w:r>
      <w:r>
        <w:rPr>
          <w:b w:val="false"/>
          <w:bCs w:val="false"/>
        </w:rPr>
        <w:t xml:space="preserve">Proof gaps: Farmers lack attestation for insurance claims and credit applications</w:t>
      </w:r>
      <w:r>
        <w:t xml:space="preserve">
</w:t>
      </w:r>
      <w:r>
        <w:rPr>
          <w:b w:val="false"/>
          <w:bCs w:val="false"/>
        </w:rPr>
        <w:t xml:space="preserve">Payment delays: Disputes and manual reconciliation hold up farmer compensation; supply chain opacity limits trade financing</w:t>
      </w:r>
    </w:p>
    <w:p>
      <w:pPr>
        <w:pStyle w:val="Heading1"/>
      </w:pPr>
      <w:r>
        <w:t xml:space="preserve">Solution</w:t>
      </w:r>
    </w:p>
    <w:p>
      <w:pPr>
        <w:spacing w:after="120"/>
      </w:pPr>
      <w:r>
        <w:t xml:space="preserve">HarvestChain creates an immutable, mobile-friendly attestation layer for contract farming:</w:t>
      </w:r>
    </w:p>
    <w:p>
      <w:r>
        <w:t xml:space="preserve">State machine: Each contract flows through Planted → Growing → Harvested → In_Transit → Delivered → Settled.</w:t>
      </w:r>
    </w:p>
    <w:p>
      <w:r>
        <w:t xml:space="preserve">Farmer attestation: GPS + photo + SMS proof at each milestone; no app download required.</w:t>
      </w:r>
    </w:p>
    <w:p>
      <w:r>
        <w:t xml:space="preserve">Buyer acceptance: Trader logs disputes or approvals; acceptance triggers automatic payment.</w:t>
      </w:r>
    </w:p>
    <w:p>
      <w:r>
        <w:t xml:space="preserve">Immutable record: Blockchain records serve insurance claims, credit scoring, and regulatory compliance.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MVP Scope</w:t>
      </w:r>
    </w:p>
    <w:p>
      <w:r>
        <w:t xml:space="preserve">Commodity: Wheat (standardized grades). Parties: 1 farmer + 1 buyer. Milestones: 3 (field handoff, transit arrival, buyer acceptance). Proof: GPS + photo + SMS attestation. Timeline: 4 months build; 6 months pilot validation.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Revenue Model</w:t>
      </w:r>
    </w:p>
    <w:p>
      <w:r>
        <w:t xml:space="preserve">Per-attestation fees: $10–$50 per milestone (3/contract = $30–$150).</w:t>
      </w:r>
    </w:p>
    <w:p>
      <w:r>
        <w:t xml:space="preserve">Monthly trader SaaS: $2K–$10K/month for dashboard, API, integrations.</w:t>
      </w:r>
    </w:p>
    <w:p>
      <w:r>
        <w:t xml:space="preserve">Insurance verification: $500–$2K per policy for premium attestation data.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Market Opportunity</w:t>
      </w:r>
    </w:p>
    <w:p>
      <w:r>
        <w:t xml:space="preserve">Global commodity trading: $10 trillion annually. Agricultural technology: $25 billion market. Contract farming platforms: $2–3 billion. HarvestChain initial SAM: $50–100M (attestation SaaS for 500+ largest traders and platforms).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Go-to-Market</w:t>
      </w:r>
    </w:p>
    <w:p>
      <w:r>
        <w:t xml:space="preserve">Direct sales to commodity traders (Cargill, ADM, regional importers). Distribution partnerships with contract farming platforms (ITC e-Choupal). Integration with crop insurers. Regional expansion: India → Southeast Asia → Africa.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Why We Win</w:t>
      </w:r>
    </w:p>
    <w:p>
      <w:pPr>
        <w:spacing w:after="240"/>
      </w:pPr>
      <w:r>
        <w:rPr>
          <w:b w:val="false"/>
          <w:bCs w:val="false"/>
        </w:rPr>
        <w:t xml:space="preserve">Purpose-built for contract farming—not a generic blockchain tool.</w:t>
      </w:r>
      <w:r>
        <w:t xml:space="preserve">
</w:t>
      </w:r>
      <w:r>
        <w:rPr>
          <w:b w:val="false"/>
          <w:bCs w:val="false"/>
        </w:rPr>
        <w:t xml:space="preserve">Mobile-first: SMS + photo (no app downloads, works offline).</w:t>
      </w:r>
      <w:r>
        <w:t xml:space="preserve">
</w:t>
      </w:r>
      <w:r>
        <w:rPr>
          <w:b w:val="false"/>
          <w:bCs w:val="false"/>
        </w:rPr>
        <w:t xml:space="preserve">Regulatory clear: Attestation SaaS, not custody or trading.</w:t>
      </w:r>
      <w:r>
        <w:t xml:space="preserve">
</w:t>
      </w:r>
      <w:r>
        <w:rPr>
          <w:b w:val="false"/>
          <w:bCs w:val="false"/>
        </w:rPr>
        <w:t xml:space="preserve">Revenue immediate: $50–500 per contract; scales with SaaS margins.</w:t>
      </w:r>
    </w:p>
    <w:p>
      <w:pPr>
        <w:pStyle w:val="Heading1"/>
      </w:pPr>
      <w:r>
        <w:t xml:space="preserve">Financial Projections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Year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Revenue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Contracts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Users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$50–100K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200–500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3–5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$500K–$1M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2K–5K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15–25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$35M+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150K+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200+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Use of Funds ($500K)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Allocation</w:t>
            </w:r>
          </w:p>
        </w:tc>
      </w:tr>
      <w:tr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Engineering (blockchain + mobile)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40% ($200K)</w:t>
            </w:r>
          </w:p>
        </w:tc>
      </w:tr>
      <w:tr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Pilot &amp; customer acquisition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30% ($150K)</w:t>
            </w:r>
          </w:p>
        </w:tc>
      </w:tr>
      <w:tr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Operations &amp; compliance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20% ($100K)</w:t>
            </w:r>
          </w:p>
        </w:tc>
      </w:tr>
      <w:tr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Runway reserve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10% ($50K)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Traction &amp; Milestones</w:t>
      </w:r>
    </w:p>
    <w:p>
      <w:r>
        <w:t xml:space="preserve">Month 1–2: Pilot MOU with regional trader partner. Month 3–4: MVP live on testnet. Month 5–6: First 10 contracts live (500 MT wheat). Month 9: SaaS dashboard live; 50+ contracts. Month 12: Mainnet launch; $20–50K ARR. Series A target: $3–5M seed round post-traction validation.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Key Risks &amp; Mitigation</w:t>
      </w:r>
    </w:p>
    <w:p>
      <w:r>
        <w:t xml:space="preserve">Farmer adoption: Mitigated by SMS + offline attestation (zero app friction). Trader skepticism on blockchain: White-label SaaS (attestation records emphasized, not tokens). Regulatory: Attestation SaaS is orthogonal to DeFi/custody—clear legal framework. Commodity market volatility: MVP focuses on delivery, not price—orthogonal risk.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Conclusion</w:t>
      </w:r>
    </w:p>
    <w:p>
      <w:r>
        <w:t xml:space="preserve">HarvestChain brings transparency to contract farming—a $25B global opportunity underserved by crypto and legacy tech. We are building a purpose-built attestation layer that traders and insurers want, farmers can use without friction, and regulators accept. $500K gets us to MVP + pilot traction. Let's talk.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2026-04-01T10:11:25.818Z</dcterms:created>
  <dcterms:modified xsi:type="dcterms:W3CDTF">2026-04-01T10:11:25.819Z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