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2E75B6"/>
          <w:sz w:val="20"/>
          <w:szCs w:val="20"/>
        </w:rPr>
        <w:t xml:space="preserve">CONFIDENTIAL</w:t>
      </w:r>
    </w:p>
    <w:p/>
    <w:p>
      <w:pPr>
        <w:spacing w:after="60"/>
        <w:jc w:val="center"/>
      </w:pPr>
      <w:r>
        <w:rPr>
          <w:b/>
          <w:bCs/>
          <w:color w:val="2E75B6"/>
          <w:sz w:val="28"/>
          <w:szCs w:val="28"/>
        </w:rPr>
        <w:t xml:space="preserve">InsuraGuard™ — MGA Claims-Tracking Ledger</w:t>
      </w:r>
    </w:p>
    <w:p>
      <w:pPr>
        <w:spacing w:after="240"/>
        <w:jc w:val="center"/>
      </w:pPr>
      <w:r>
        <w:rPr>
          <w:color w:val="2E75B6"/>
          <w:sz w:val="22"/>
          <w:szCs w:val="22"/>
        </w:rPr>
        <w:t xml:space="preserve">Pre-Seed Funding Memorandum</w:t>
      </w:r>
    </w:p>
    <w:p>
      <w:r>
        <w:rPr>
          <w:b/>
          <w:bCs/>
        </w:rPr>
        <w:t xml:space="preserve">TO:</w:t>
      </w:r>
      <w:r>
        <w:t xml:space="preserve">   Prospective Investors</w:t>
      </w:r>
    </w:p>
    <w:p>
      <w:r>
        <w:rPr>
          <w:b/>
          <w:bCs/>
        </w:rPr>
        <w:t xml:space="preserve">FROM:</w:t>
      </w:r>
      <w:r>
        <w:t xml:space="preserve">   InsuraGuard™ Team</w:t>
      </w:r>
    </w:p>
    <w:p>
      <w:r>
        <w:rPr>
          <w:b/>
          <w:bCs/>
        </w:rPr>
        <w:t xml:space="preserve">DATE:</w:t>
      </w:r>
      <w:r>
        <w:t xml:space="preserve">   April 2026</w:t>
      </w:r>
    </w:p>
    <w:p>
      <w:r>
        <w:rPr>
          <w:b/>
          <w:bCs/>
        </w:rPr>
        <w:t xml:space="preserve">RE:</w:t>
      </w:r>
      <w:r>
        <w:t xml:space="preserve">   $500K Pre-Seed Round</w:t>
      </w:r>
    </w:p>
    <w:p>
      <w:pPr>
        <w:spacing w:after="240"/>
      </w:pPr>
    </w:p>
    <w:p>
      <w:pPr>
        <w:pStyle w:val="Heading1"/>
      </w:pPr>
      <w:r>
        <w:t xml:space="preserve">Executive Summary</w:t>
      </w:r>
    </w:p>
    <w:p>
      <w:pPr>
        <w:spacing w:after="120"/>
      </w:pPr>
      <w:r>
        <w:t xml:space="preserve">InsuraGuard™ is a distributed ledger platform that brings transparency, auditability, and speed to insurance claims management. We replace manual, opaque claim workflows with an immutable, token-based system that satisfies regulators, reinsurers, and MGAs.</w:t>
      </w:r>
    </w:p>
    <w:p>
      <w:pPr>
        <w:spacing w:after="120"/>
      </w:pPr>
      <w:r>
        <w:t xml:space="preserve">In the insurance industry, claims processing is fragmented across dozens of systems with no single source of truth. This causes delays, regulatory friction, and reinsurer skepticism. InsuraGuard solves this by tokenizing claim states (Filed → Assigned → Investigating → Approved → Paid → Closed) on a distributed ledger.</w:t>
      </w:r>
    </w:p>
    <w:p>
      <w:pPr>
        <w:spacing w:after="240"/>
      </w:pPr>
      <w:r>
        <w:t xml:space="preserve">Our MVP targets mid-market MGAs managing commercial general liability, processing 500+ claims monthly. Revenue model: $5–$15 per claim or $5K–$25K/month SaaS. Year 1 target: $350K ARR; Year 5: $40M ARR.</w:t>
      </w:r>
    </w:p>
    <w:p>
      <w:pPr>
        <w:pStyle w:val="Heading1"/>
      </w:pPr>
      <w:r>
        <w:t xml:space="preserve">The Opportunity</w:t>
      </w:r>
    </w:p>
    <w:p>
      <w:pPr>
        <w:spacing w:after="120"/>
      </w:pPr>
      <w:r>
        <w:t xml:space="preserve">Insurance claims represent an $8B annual market in the US alone, with global InsurTech at $10B+ TAM. Mid-market MGAs are under pressure to modernize while keeping costs low. Reinsurers demand proof of claims handling excellence. Regulators require audit trails.</w:t>
      </w:r>
    </w:p>
    <w:p>
      <w:pPr>
        <w:pStyle w:val="Heading2"/>
      </w:pPr>
      <w:r>
        <w:t xml:space="preserve">Market Size</w:t>
      </w:r>
    </w:p>
    <w:p>
      <w:pPr>
        <w:spacing w:after="240"/>
      </w:pPr>
      <w:r>
        <w:t xml:space="preserve">US claims processing: $8B | InsurTech market: $10B | MGA universe: 50,000+ entities managing $3T policies | Digital transformation spend: $15B/year</w:t>
      </w:r>
    </w:p>
    <w:p>
      <w:pPr>
        <w:pStyle w:val="Heading1"/>
      </w:pPr>
      <w:r>
        <w:t xml:space="preserve">Product &amp; Technology</w:t>
      </w:r>
    </w:p>
    <w:p>
      <w:pPr>
        <w:spacing w:after="120"/>
      </w:pPr>
      <w:r>
        <w:t xml:space="preserve">InsuraGuard tokenizes each claim as a unique, immutable record on a private distributed ledger. As a claim progresses through lifecycle states, the ledger records each transition with timestamp, actor ID, and authorization proof. This creates an audit trail that satisfies regulators and provides reinsurers with real-time claim visibility.</w:t>
      </w:r>
    </w:p>
    <w:p>
      <w:pPr>
        <w:pStyle w:val="Heading2"/>
      </w:pPr>
      <w:r>
        <w:t xml:space="preserve">MVP Scope</w:t>
      </w:r>
    </w:p>
    <w:p>
      <w:pPr>
        <w:spacing w:after="240"/>
      </w:pPr>
      <w:r>
        <w:t xml:space="preserve">Single MGA | Commercial General Liability (CGL) | 500 claims/month | State transitions: Filed, Assigned, Investigating, Approved, Paid, Closed | REST API for integrations</w:t>
      </w:r>
    </w:p>
    <w:p>
      <w:pPr>
        <w:pStyle w:val="Heading1"/>
      </w:pPr>
      <w:r>
        <w:t xml:space="preserve">Business Model</w:t>
      </w:r>
    </w:p>
    <w:p>
      <w:pPr>
        <w:pStyle w:val="Heading2"/>
      </w:pPr>
      <w:r>
        <w:t xml:space="preserve">Revenue Streams</w:t>
      </w:r>
    </w:p>
    <w:p>
      <w:pPr>
        <w:spacing w:after="80"/>
      </w:pPr>
      <w:r>
        <w:rPr>
          <w:b/>
          <w:bCs/>
        </w:rPr>
        <w:t xml:space="preserve">Per-Claim Pricing: </w:t>
      </w:r>
      <w:r>
        <w:t xml:space="preserve">$5–$15 per claim processed (scales with customer volume)</w:t>
      </w:r>
    </w:p>
    <w:p>
      <w:pPr>
        <w:spacing w:after="200"/>
      </w:pPr>
      <w:r>
        <w:rPr>
          <w:b/>
          <w:bCs/>
        </w:rPr>
        <w:t xml:space="preserve">SaaS Subscription: </w:t>
      </w:r>
      <w:r>
        <w:t xml:space="preserve">$5K–$25K/month for unlimited claims (tiered by MGA size)</w:t>
      </w:r>
    </w:p>
    <w:p>
      <w:pPr>
        <w:pStyle w:val="Heading2"/>
      </w:pPr>
      <w:r>
        <w:t xml:space="preserve">Unit Economics</w:t>
      </w:r>
    </w:p>
    <w:p>
      <w:pPr>
        <w:spacing w:after="240"/>
      </w:pPr>
      <w:r>
        <w:rPr>
          <w:b/>
          <w:bCs/>
        </w:rPr>
        <w:t xml:space="preserve">COGS: </w:t>
      </w:r>
      <w:r>
        <w:t xml:space="preserve">$0.50–$1.00 per claim | </w:t>
      </w:r>
      <w:r>
        <w:rPr>
          <w:b/>
          <w:bCs/>
        </w:rPr>
        <w:t xml:space="preserve">Gross Margin: </w:t>
      </w:r>
      <w:r>
        <w:t xml:space="preserve">80–90% | </w:t>
      </w:r>
      <w:r>
        <w:rPr>
          <w:b/>
          <w:bCs/>
        </w:rPr>
        <w:t xml:space="preserve">CAC Payback: </w:t>
      </w:r>
      <w:r>
        <w:t xml:space="preserve">6–9 months</w:t>
      </w:r>
    </w:p>
    <w:p>
      <w:pPr>
        <w:pStyle w:val="Heading1"/>
      </w:pPr>
      <w:r>
        <w:t xml:space="preserve">5-Year Financial Projections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2E75B6" w:val="clear"/>
          </w:tcPr>
          <w:p>
            <w:r>
              <w:rPr>
                <w:b/>
                <w:bCs/>
                <w:color w:val="FFFFFF"/>
              </w:rPr>
              <w:t xml:space="preserve">Year</w:t>
            </w:r>
          </w:p>
        </w:tc>
        <w:tc>
          <w:tcPr>
            <w:tcW w:type="dxa" w:w="2340"/>
            <w:tcBorders>
              <w:top w:val="single" w:color="CCCCCC" w:sz="1"/>
              <w:left w:val="single" w:color="CCCCCC" w:sz="1"/>
              <w:bottom w:val="single" w:color="CCCCCC" w:sz="1"/>
              <w:right w:val="single" w:color="CCCCCC" w:sz="1"/>
            </w:tcBorders>
            <w:shd w:fill="2E75B6" w:val="clear"/>
          </w:tcPr>
          <w:p>
            <w:r>
              <w:rPr>
                <w:b/>
                <w:bCs/>
                <w:color w:val="FFFFFF"/>
              </w:rPr>
              <w:t xml:space="preserve">ARR</w:t>
            </w:r>
          </w:p>
        </w:tc>
        <w:tc>
          <w:tcPr>
            <w:tcW w:type="dxa" w:w="2340"/>
            <w:tcBorders>
              <w:top w:val="single" w:color="CCCCCC" w:sz="1"/>
              <w:left w:val="single" w:color="CCCCCC" w:sz="1"/>
              <w:bottom w:val="single" w:color="CCCCCC" w:sz="1"/>
              <w:right w:val="single" w:color="CCCCCC" w:sz="1"/>
            </w:tcBorders>
            <w:shd w:fill="2E75B6" w:val="clear"/>
          </w:tcPr>
          <w:p>
            <w:r>
              <w:rPr>
                <w:b/>
                <w:bCs/>
                <w:color w:val="FFFFFF"/>
              </w:rPr>
              <w:t xml:space="preserve">Customers</w:t>
            </w:r>
          </w:p>
        </w:tc>
        <w:tc>
          <w:tcPr>
            <w:tcW w:type="dxa" w:w="2340"/>
            <w:tcBorders>
              <w:top w:val="single" w:color="CCCCCC" w:sz="1"/>
              <w:left w:val="single" w:color="CCCCCC" w:sz="1"/>
              <w:bottom w:val="single" w:color="CCCCCC" w:sz="1"/>
              <w:right w:val="single" w:color="CCCCCC" w:sz="1"/>
            </w:tcBorders>
            <w:shd w:fill="2E75B6" w:val="clear"/>
          </w:tcPr>
          <w:p>
            <w:r>
              <w:rPr>
                <w:b/>
                <w:bCs/>
                <w:color w:val="FFFFFF"/>
              </w:rPr>
              <w:t xml:space="preserve">Growth</w:t>
            </w:r>
          </w:p>
        </w:tc>
      </w:tr>
      <w:tr>
        <w:tc>
          <w:tcPr>
            <w:tcW w:type="dxa" w:w="2340"/>
            <w:tcBorders>
              <w:top w:val="single" w:color="CCCCCC" w:sz="1"/>
              <w:left w:val="single" w:color="CCCCCC" w:sz="1"/>
              <w:bottom w:val="single" w:color="CCCCCC" w:sz="1"/>
              <w:right w:val="single" w:color="CCCCCC" w:sz="1"/>
            </w:tcBorders>
            <w:shd w:fill="E7F0F7" w:val="clear"/>
          </w:tcPr>
          <w:p>
            <w:r>
              <w:t xml:space="preserve">Y1 (2026)</w:t>
            </w:r>
          </w:p>
        </w:tc>
        <w:tc>
          <w:tcPr>
            <w:tcW w:type="dxa" w:w="2340"/>
            <w:tcBorders>
              <w:top w:val="single" w:color="CCCCCC" w:sz="1"/>
              <w:left w:val="single" w:color="CCCCCC" w:sz="1"/>
              <w:bottom w:val="single" w:color="CCCCCC" w:sz="1"/>
              <w:right w:val="single" w:color="CCCCCC" w:sz="1"/>
            </w:tcBorders>
            <w:shd w:fill="E7F0F7" w:val="clear"/>
          </w:tcPr>
          <w:p>
            <w:r>
              <w:t xml:space="preserve">$350K</w:t>
            </w:r>
          </w:p>
        </w:tc>
        <w:tc>
          <w:tcPr>
            <w:tcW w:type="dxa" w:w="2340"/>
            <w:tcBorders>
              <w:top w:val="single" w:color="CCCCCC" w:sz="1"/>
              <w:left w:val="single" w:color="CCCCCC" w:sz="1"/>
              <w:bottom w:val="single" w:color="CCCCCC" w:sz="1"/>
              <w:right w:val="single" w:color="CCCCCC" w:sz="1"/>
            </w:tcBorders>
            <w:shd w:fill="E7F0F7" w:val="clear"/>
          </w:tcPr>
          <w:p>
            <w:r>
              <w:t xml:space="preserve">8–12</w:t>
            </w:r>
          </w:p>
        </w:tc>
        <w:tc>
          <w:tcPr>
            <w:tcW w:type="dxa" w:w="2340"/>
            <w:tcBorders>
              <w:top w:val="single" w:color="CCCCCC" w:sz="1"/>
              <w:left w:val="single" w:color="CCCCCC" w:sz="1"/>
              <w:bottom w:val="single" w:color="CCCCCC" w:sz="1"/>
              <w:right w:val="single" w:color="CCCCCC" w:sz="1"/>
            </w:tcBorders>
            <w:shd w:fill="E7F0F7" w:val="clear"/>
          </w:tcPr>
          <w:p>
            <w:r>
              <w:t xml:space="preserve">—</w:t>
            </w:r>
          </w:p>
        </w:tc>
      </w:tr>
      <w:tr>
        <w:tc>
          <w:tcPr>
            <w:tcW w:type="dxa" w:w="2340"/>
            <w:tcBorders>
              <w:top w:val="single" w:color="CCCCCC" w:sz="1"/>
              <w:left w:val="single" w:color="CCCCCC" w:sz="1"/>
              <w:bottom w:val="single" w:color="CCCCCC" w:sz="1"/>
              <w:right w:val="single" w:color="CCCCCC" w:sz="1"/>
            </w:tcBorders>
          </w:tcPr>
          <w:p>
            <w:r>
              <w:t xml:space="preserve">Y2 (2027)</w:t>
            </w:r>
          </w:p>
        </w:tc>
        <w:tc>
          <w:tcPr>
            <w:tcW w:type="dxa" w:w="2340"/>
            <w:tcBorders>
              <w:top w:val="single" w:color="CCCCCC" w:sz="1"/>
              <w:left w:val="single" w:color="CCCCCC" w:sz="1"/>
              <w:bottom w:val="single" w:color="CCCCCC" w:sz="1"/>
              <w:right w:val="single" w:color="CCCCCC" w:sz="1"/>
            </w:tcBorders>
          </w:tcPr>
          <w:p>
            <w:r>
              <w:t xml:space="preserve">$2.1M</w:t>
            </w:r>
          </w:p>
        </w:tc>
        <w:tc>
          <w:tcPr>
            <w:tcW w:type="dxa" w:w="2340"/>
            <w:tcBorders>
              <w:top w:val="single" w:color="CCCCCC" w:sz="1"/>
              <w:left w:val="single" w:color="CCCCCC" w:sz="1"/>
              <w:bottom w:val="single" w:color="CCCCCC" w:sz="1"/>
              <w:right w:val="single" w:color="CCCCCC" w:sz="1"/>
            </w:tcBorders>
          </w:tcPr>
          <w:p>
            <w:r>
              <w:t xml:space="preserve">25–35</w:t>
            </w:r>
          </w:p>
        </w:tc>
        <w:tc>
          <w:tcPr>
            <w:tcW w:type="dxa" w:w="2340"/>
            <w:tcBorders>
              <w:top w:val="single" w:color="CCCCCC" w:sz="1"/>
              <w:left w:val="single" w:color="CCCCCC" w:sz="1"/>
              <w:bottom w:val="single" w:color="CCCCCC" w:sz="1"/>
              <w:right w:val="single" w:color="CCCCCC" w:sz="1"/>
            </w:tcBorders>
          </w:tcPr>
          <w:p>
            <w:r>
              <w:t xml:space="preserve">500%</w:t>
            </w:r>
          </w:p>
        </w:tc>
      </w:tr>
      <w:tr>
        <w:tc>
          <w:tcPr>
            <w:tcW w:type="dxa" w:w="2340"/>
            <w:tcBorders>
              <w:top w:val="single" w:color="CCCCCC" w:sz="1"/>
              <w:left w:val="single" w:color="CCCCCC" w:sz="1"/>
              <w:bottom w:val="single" w:color="CCCCCC" w:sz="1"/>
              <w:right w:val="single" w:color="CCCCCC" w:sz="1"/>
            </w:tcBorders>
            <w:shd w:fill="E7F0F7" w:val="clear"/>
          </w:tcPr>
          <w:p>
            <w:r>
              <w:t xml:space="preserve">Y3 (2028)</w:t>
            </w:r>
          </w:p>
        </w:tc>
        <w:tc>
          <w:tcPr>
            <w:tcW w:type="dxa" w:w="2340"/>
            <w:tcBorders>
              <w:top w:val="single" w:color="CCCCCC" w:sz="1"/>
              <w:left w:val="single" w:color="CCCCCC" w:sz="1"/>
              <w:bottom w:val="single" w:color="CCCCCC" w:sz="1"/>
              <w:right w:val="single" w:color="CCCCCC" w:sz="1"/>
            </w:tcBorders>
            <w:shd w:fill="E7F0F7" w:val="clear"/>
          </w:tcPr>
          <w:p>
            <w:r>
              <w:t xml:space="preserve">$8.5M</w:t>
            </w:r>
          </w:p>
        </w:tc>
        <w:tc>
          <w:tcPr>
            <w:tcW w:type="dxa" w:w="2340"/>
            <w:tcBorders>
              <w:top w:val="single" w:color="CCCCCC" w:sz="1"/>
              <w:left w:val="single" w:color="CCCCCC" w:sz="1"/>
              <w:bottom w:val="single" w:color="CCCCCC" w:sz="1"/>
              <w:right w:val="single" w:color="CCCCCC" w:sz="1"/>
            </w:tcBorders>
            <w:shd w:fill="E7F0F7" w:val="clear"/>
          </w:tcPr>
          <w:p>
            <w:r>
              <w:t xml:space="preserve">60–80</w:t>
            </w:r>
          </w:p>
        </w:tc>
        <w:tc>
          <w:tcPr>
            <w:tcW w:type="dxa" w:w="2340"/>
            <w:tcBorders>
              <w:top w:val="single" w:color="CCCCCC" w:sz="1"/>
              <w:left w:val="single" w:color="CCCCCC" w:sz="1"/>
              <w:bottom w:val="single" w:color="CCCCCC" w:sz="1"/>
              <w:right w:val="single" w:color="CCCCCC" w:sz="1"/>
            </w:tcBorders>
            <w:shd w:fill="E7F0F7" w:val="clear"/>
          </w:tcPr>
          <w:p>
            <w:r>
              <w:t xml:space="preserve">305%</w:t>
            </w:r>
          </w:p>
        </w:tc>
      </w:tr>
      <w:tr>
        <w:tc>
          <w:tcPr>
            <w:tcW w:type="dxa" w:w="2340"/>
            <w:tcBorders>
              <w:top w:val="single" w:color="CCCCCC" w:sz="1"/>
              <w:left w:val="single" w:color="CCCCCC" w:sz="1"/>
              <w:bottom w:val="single" w:color="CCCCCC" w:sz="1"/>
              <w:right w:val="single" w:color="CCCCCC" w:sz="1"/>
            </w:tcBorders>
          </w:tcPr>
          <w:p>
            <w:r>
              <w:t xml:space="preserve">Y4 (2029)</w:t>
            </w:r>
          </w:p>
        </w:tc>
        <w:tc>
          <w:tcPr>
            <w:tcW w:type="dxa" w:w="2340"/>
            <w:tcBorders>
              <w:top w:val="single" w:color="CCCCCC" w:sz="1"/>
              <w:left w:val="single" w:color="CCCCCC" w:sz="1"/>
              <w:bottom w:val="single" w:color="CCCCCC" w:sz="1"/>
              <w:right w:val="single" w:color="CCCCCC" w:sz="1"/>
            </w:tcBorders>
          </w:tcPr>
          <w:p>
            <w:r>
              <w:t xml:space="preserve">$22M</w:t>
            </w:r>
          </w:p>
        </w:tc>
        <w:tc>
          <w:tcPr>
            <w:tcW w:type="dxa" w:w="2340"/>
            <w:tcBorders>
              <w:top w:val="single" w:color="CCCCCC" w:sz="1"/>
              <w:left w:val="single" w:color="CCCCCC" w:sz="1"/>
              <w:bottom w:val="single" w:color="CCCCCC" w:sz="1"/>
              <w:right w:val="single" w:color="CCCCCC" w:sz="1"/>
            </w:tcBorders>
          </w:tcPr>
          <w:p>
            <w:r>
              <w:t xml:space="preserve">140–180</w:t>
            </w:r>
          </w:p>
        </w:tc>
        <w:tc>
          <w:tcPr>
            <w:tcW w:type="dxa" w:w="2340"/>
            <w:tcBorders>
              <w:top w:val="single" w:color="CCCCCC" w:sz="1"/>
              <w:left w:val="single" w:color="CCCCCC" w:sz="1"/>
              <w:bottom w:val="single" w:color="CCCCCC" w:sz="1"/>
              <w:right w:val="single" w:color="CCCCCC" w:sz="1"/>
            </w:tcBorders>
          </w:tcPr>
          <w:p>
            <w:r>
              <w:t xml:space="preserve">159%</w:t>
            </w:r>
          </w:p>
        </w:tc>
      </w:tr>
      <w:tr>
        <w:tc>
          <w:tcPr>
            <w:tcW w:type="dxa" w:w="2340"/>
            <w:tcBorders>
              <w:top w:val="single" w:color="CCCCCC" w:sz="1"/>
              <w:left w:val="single" w:color="CCCCCC" w:sz="1"/>
              <w:bottom w:val="single" w:color="CCCCCC" w:sz="1"/>
              <w:right w:val="single" w:color="CCCCCC" w:sz="1"/>
            </w:tcBorders>
            <w:shd w:fill="E7F0F7" w:val="clear"/>
          </w:tcPr>
          <w:p>
            <w:r>
              <w:t xml:space="preserve">Y5 (2030)</w:t>
            </w:r>
          </w:p>
        </w:tc>
        <w:tc>
          <w:tcPr>
            <w:tcW w:type="dxa" w:w="2340"/>
            <w:tcBorders>
              <w:top w:val="single" w:color="CCCCCC" w:sz="1"/>
              <w:left w:val="single" w:color="CCCCCC" w:sz="1"/>
              <w:bottom w:val="single" w:color="CCCCCC" w:sz="1"/>
              <w:right w:val="single" w:color="CCCCCC" w:sz="1"/>
            </w:tcBorders>
            <w:shd w:fill="E7F0F7" w:val="clear"/>
          </w:tcPr>
          <w:p>
            <w:r>
              <w:t xml:space="preserve">$40M</w:t>
            </w:r>
          </w:p>
        </w:tc>
        <w:tc>
          <w:tcPr>
            <w:tcW w:type="dxa" w:w="2340"/>
            <w:tcBorders>
              <w:top w:val="single" w:color="CCCCCC" w:sz="1"/>
              <w:left w:val="single" w:color="CCCCCC" w:sz="1"/>
              <w:bottom w:val="single" w:color="CCCCCC" w:sz="1"/>
              <w:right w:val="single" w:color="CCCCCC" w:sz="1"/>
            </w:tcBorders>
            <w:shd w:fill="E7F0F7" w:val="clear"/>
          </w:tcPr>
          <w:p>
            <w:r>
              <w:t xml:space="preserve">250–300</w:t>
            </w:r>
          </w:p>
        </w:tc>
        <w:tc>
          <w:tcPr>
            <w:tcW w:type="dxa" w:w="2340"/>
            <w:tcBorders>
              <w:top w:val="single" w:color="CCCCCC" w:sz="1"/>
              <w:left w:val="single" w:color="CCCCCC" w:sz="1"/>
              <w:bottom w:val="single" w:color="CCCCCC" w:sz="1"/>
              <w:right w:val="single" w:color="CCCCCC" w:sz="1"/>
            </w:tcBorders>
            <w:shd w:fill="E7F0F7" w:val="clear"/>
          </w:tcPr>
          <w:p>
            <w:r>
              <w:t xml:space="preserve">82%</w:t>
            </w:r>
          </w:p>
        </w:tc>
      </w:tr>
    </w:tbl>
    <w:p>
      <w:pPr>
        <w:spacing w:after="240"/>
      </w:pPr>
    </w:p>
    <w:p>
      <w:pPr>
        <w:pStyle w:val="Heading1"/>
      </w:pPr>
      <w:r>
        <w:t xml:space="preserve">Use of $500K Pre-Seed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single" w:color="CCCCCC" w:sz="1"/>
              <w:left w:val="single" w:color="CCCCCC" w:sz="1"/>
              <w:bottom w:val="single" w:color="CCCCCC" w:sz="1"/>
              <w:right w:val="single" w:color="CCCCCC" w:sz="1"/>
            </w:tcBorders>
            <w:shd w:fill="2E75B6" w:val="clear"/>
          </w:tcPr>
          <w:p>
            <w:r>
              <w:rPr>
                <w:b/>
                <w:bCs/>
                <w:color w:val="FFFFFF"/>
              </w:rPr>
              <w:t xml:space="preserve">Category</w:t>
            </w:r>
          </w:p>
        </w:tc>
        <w:tc>
          <w:tcPr>
            <w:tcW w:type="dxa" w:w="3960"/>
            <w:tcBorders>
              <w:top w:val="single" w:color="CCCCCC" w:sz="1"/>
              <w:left w:val="single" w:color="CCCCCC" w:sz="1"/>
              <w:bottom w:val="single" w:color="CCCCCC" w:sz="1"/>
              <w:right w:val="single" w:color="CCCCCC" w:sz="1"/>
            </w:tcBorders>
            <w:shd w:fill="2E75B6" w:val="clear"/>
          </w:tcPr>
          <w:p>
            <w:r>
              <w:rPr>
                <w:b/>
                <w:bCs/>
                <w:color w:val="FFFFFF"/>
              </w:rPr>
              <w:t xml:space="preserve">Allocation</w:t>
            </w:r>
          </w:p>
        </w:tc>
      </w:tr>
      <w:tr>
        <w:tc>
          <w:tcPr>
            <w:tcW w:type="dxa" w:w="5400"/>
            <w:tcBorders>
              <w:top w:val="single" w:color="CCCCCC" w:sz="1"/>
              <w:left w:val="single" w:color="CCCCCC" w:sz="1"/>
              <w:bottom w:val="single" w:color="CCCCCC" w:sz="1"/>
              <w:right w:val="single" w:color="CCCCCC" w:sz="1"/>
            </w:tcBorders>
            <w:shd w:fill="E7F0F7" w:val="clear"/>
          </w:tcPr>
          <w:p>
            <w:r>
              <w:t xml:space="preserve">Engineering (platform development)</w:t>
            </w:r>
          </w:p>
        </w:tc>
        <w:tc>
          <w:tcPr>
            <w:tcW w:type="dxa" w:w="3960"/>
            <w:tcBorders>
              <w:top w:val="single" w:color="CCCCCC" w:sz="1"/>
              <w:left w:val="single" w:color="CCCCCC" w:sz="1"/>
              <w:bottom w:val="single" w:color="CCCCCC" w:sz="1"/>
              <w:right w:val="single" w:color="CCCCCC" w:sz="1"/>
            </w:tcBorders>
            <w:shd w:fill="E7F0F7" w:val="clear"/>
          </w:tcPr>
          <w:p>
            <w:r>
              <w:t xml:space="preserve">$250K</w:t>
            </w:r>
          </w:p>
        </w:tc>
      </w:tr>
      <w:tr>
        <w:tc>
          <w:tcPr>
            <w:tcW w:type="dxa" w:w="5400"/>
            <w:tcBorders>
              <w:top w:val="single" w:color="CCCCCC" w:sz="1"/>
              <w:left w:val="single" w:color="CCCCCC" w:sz="1"/>
              <w:bottom w:val="single" w:color="CCCCCC" w:sz="1"/>
              <w:right w:val="single" w:color="CCCCCC" w:sz="1"/>
            </w:tcBorders>
          </w:tcPr>
          <w:p>
            <w:r>
              <w:t xml:space="preserve">Sales &amp; Marketing</w:t>
            </w:r>
          </w:p>
        </w:tc>
        <w:tc>
          <w:tcPr>
            <w:tcW w:type="dxa" w:w="3960"/>
            <w:tcBorders>
              <w:top w:val="single" w:color="CCCCCC" w:sz="1"/>
              <w:left w:val="single" w:color="CCCCCC" w:sz="1"/>
              <w:bottom w:val="single" w:color="CCCCCC" w:sz="1"/>
              <w:right w:val="single" w:color="CCCCCC" w:sz="1"/>
            </w:tcBorders>
          </w:tcPr>
          <w:p>
            <w:r>
              <w:t xml:space="preserve">$100K</w:t>
            </w:r>
          </w:p>
        </w:tc>
      </w:tr>
      <w:tr>
        <w:tc>
          <w:tcPr>
            <w:tcW w:type="dxa" w:w="5400"/>
            <w:tcBorders>
              <w:top w:val="single" w:color="CCCCCC" w:sz="1"/>
              <w:left w:val="single" w:color="CCCCCC" w:sz="1"/>
              <w:bottom w:val="single" w:color="CCCCCC" w:sz="1"/>
              <w:right w:val="single" w:color="CCCCCC" w:sz="1"/>
            </w:tcBorders>
            <w:shd w:fill="E7F0F7" w:val="clear"/>
          </w:tcPr>
          <w:p>
            <w:r>
              <w:t xml:space="preserve">Operations &amp; Legal</w:t>
            </w:r>
          </w:p>
        </w:tc>
        <w:tc>
          <w:tcPr>
            <w:tcW w:type="dxa" w:w="3960"/>
            <w:tcBorders>
              <w:top w:val="single" w:color="CCCCCC" w:sz="1"/>
              <w:left w:val="single" w:color="CCCCCC" w:sz="1"/>
              <w:bottom w:val="single" w:color="CCCCCC" w:sz="1"/>
              <w:right w:val="single" w:color="CCCCCC" w:sz="1"/>
            </w:tcBorders>
            <w:shd w:fill="E7F0F7" w:val="clear"/>
          </w:tcPr>
          <w:p>
            <w:r>
              <w:t xml:space="preserve">$80K</w:t>
            </w:r>
          </w:p>
        </w:tc>
      </w:tr>
      <w:tr>
        <w:tc>
          <w:tcPr>
            <w:tcW w:type="dxa" w:w="5400"/>
            <w:tcBorders>
              <w:top w:val="single" w:color="CCCCCC" w:sz="1"/>
              <w:left w:val="single" w:color="CCCCCC" w:sz="1"/>
              <w:bottom w:val="single" w:color="CCCCCC" w:sz="1"/>
              <w:right w:val="single" w:color="CCCCCC" w:sz="1"/>
            </w:tcBorders>
          </w:tcPr>
          <w:p>
            <w:r>
              <w:t xml:space="preserve">General Runway</w:t>
            </w:r>
          </w:p>
        </w:tc>
        <w:tc>
          <w:tcPr>
            <w:tcW w:type="dxa" w:w="3960"/>
            <w:tcBorders>
              <w:top w:val="single" w:color="CCCCCC" w:sz="1"/>
              <w:left w:val="single" w:color="CCCCCC" w:sz="1"/>
              <w:bottom w:val="single" w:color="CCCCCC" w:sz="1"/>
              <w:right w:val="single" w:color="CCCCCC" w:sz="1"/>
            </w:tcBorders>
          </w:tcPr>
          <w:p>
            <w:r>
              <w:t xml:space="preserve">$70K</w:t>
            </w:r>
          </w:p>
        </w:tc>
      </w:tr>
    </w:tbl>
    <w:p>
      <w:pPr>
        <w:spacing w:after="240"/>
      </w:pPr>
    </w:p>
    <w:p>
      <w:pPr>
        <w:pStyle w:val="Heading1"/>
      </w:pPr>
      <w:r>
        <w:t xml:space="preserve">Go-to-Market Strategy</w:t>
      </w:r>
    </w:p>
    <w:p>
      <w:pPr>
        <w:spacing w:after="100"/>
      </w:pPr>
      <w:r>
        <w:rPr>
          <w:b/>
          <w:bCs/>
        </w:rPr>
        <w:t xml:space="preserve">Direct Sales: </w:t>
      </w:r>
      <w:r>
        <w:t xml:space="preserve">High-touch outreach to 50–100 mid-market MGAs; 6–12 month sales cycles managed via pilot programs with ROI guarantees.</w:t>
      </w:r>
    </w:p>
    <w:p>
      <w:pPr>
        <w:spacing w:after="100"/>
      </w:pPr>
      <w:r>
        <w:rPr>
          <w:b/>
          <w:bCs/>
        </w:rPr>
        <w:t xml:space="preserve">Partnerships: </w:t>
      </w:r>
      <w:r>
        <w:t xml:space="preserve">Integrations with MGA management systems (ClaimCenter, Guidewire, etc.).</w:t>
      </w:r>
    </w:p>
    <w:p>
      <w:pPr>
        <w:spacing w:after="100"/>
      </w:pPr>
      <w:r>
        <w:rPr>
          <w:b/>
          <w:bCs/>
        </w:rPr>
        <w:t xml:space="preserve">Events: </w:t>
      </w:r>
      <w:r>
        <w:t xml:space="preserve">CPCU, IMCA, InsurTech conferences and roundtables.</w:t>
      </w:r>
    </w:p>
    <w:p>
      <w:pPr>
        <w:spacing w:after="240"/>
      </w:pPr>
      <w:r>
        <w:rPr>
          <w:b/>
          <w:bCs/>
        </w:rPr>
        <w:t xml:space="preserve">Freemium: </w:t>
      </w:r>
      <w:r>
        <w:t xml:space="preserve">100 free claims to demonstrate ROI before paid tier.</w:t>
      </w:r>
    </w:p>
    <w:p>
      <w:pPr>
        <w:pStyle w:val="Heading1"/>
      </w:pPr>
      <w:r>
        <w:t xml:space="preserve">Competitive Advantage</w:t>
      </w:r>
    </w:p>
    <w:p>
      <w:pPr>
        <w:spacing w:after="240"/>
      </w:pPr>
      <w:r>
        <w:t xml:space="preserve">First-mover in immutable claims ledgers | Patent-pending architecture | Regulatory relationships | Scalable infrastructure (100K+ claims/day) | Insurance expertise</w:t>
      </w:r>
    </w:p>
    <w:p>
      <w:pPr>
        <w:pStyle w:val="Heading1"/>
      </w:pPr>
      <w:r>
        <w:t xml:space="preserve">Traction</w:t>
      </w:r>
    </w:p>
    <w:p>
      <w:pPr>
        <w:spacing w:after="240"/>
      </w:pPr>
      <w:r>
        <w:t xml:space="preserve">Pilot signed with Tier-1 MGA | $1.2M pre-sales pipeline | NAIC regulatory working group feedback (positive) | Patent filed</w:t>
      </w:r>
    </w:p>
    <w:p>
      <w:pPr>
        <w:pStyle w:val="Heading1"/>
      </w:pPr>
      <w:r>
        <w:t xml:space="preserve">Risk Mitigation</w:t>
      </w:r>
    </w:p>
    <w:p>
      <w:pPr>
        <w:spacing w:after="100"/>
      </w:pPr>
      <w:r>
        <w:rPr>
          <w:b/>
          <w:bCs/>
        </w:rPr>
        <w:t xml:space="preserve">Regulatory Risk: </w:t>
      </w:r>
      <w:r>
        <w:t xml:space="preserve">NAIC partnerships; compliance-first design.</w:t>
      </w:r>
    </w:p>
    <w:p>
      <w:pPr>
        <w:spacing w:after="100"/>
      </w:pPr>
      <w:r>
        <w:rPr>
          <w:b/>
          <w:bCs/>
        </w:rPr>
        <w:t xml:space="preserve">Adoption Risk: </w:t>
      </w:r>
      <w:r>
        <w:t xml:space="preserve">Freemium model; pilot ROI studies prove value.</w:t>
      </w:r>
    </w:p>
    <w:p>
      <w:pPr>
        <w:spacing w:after="240"/>
      </w:pPr>
      <w:r>
        <w:rPr>
          <w:b/>
          <w:bCs/>
        </w:rPr>
        <w:t xml:space="preserve">Competition: </w:t>
      </w:r>
      <w:r>
        <w:t xml:space="preserve">Patents + early-mover moat; strategic partnerships lock in customers.</w:t>
      </w:r>
    </w:p>
    <w:p>
      <w:pPr>
        <w:pStyle w:val="Heading1"/>
      </w:pPr>
      <w:r>
        <w:t xml:space="preserve">Closing</w:t>
      </w:r>
    </w:p>
    <w:p>
      <w:pPr>
        <w:spacing w:after="120"/>
      </w:pPr>
      <w:r>
        <w:t xml:space="preserve">InsuraGuard represents a rare convergence of regulatory necessity, market timing, and technical excellence. The insurance industry is desperate for transparency. We have the team, traction, and timing to dominate the claims-ledger space.</w:t>
      </w:r>
    </w:p>
    <w:p>
      <w:pPr>
        <w:spacing w:after="240"/>
      </w:pPr>
      <w:r>
        <w:t xml:space="preserve">We seek $500K to reach profitability within 18–24 months and establish ourselves as the standard for claims transparency.</w:t>
      </w:r>
    </w:p>
    <w:p>
      <w:pPr>
        <w:jc w:val="center"/>
      </w:pPr>
      <w:r>
        <w:rPr>
          <w:b/>
          <w:bCs/>
        </w:rPr>
        <w:t xml:space="preserve">Contact: </w:t>
      </w:r>
      <w:r>
        <w:t xml:space="preserve">hello@insuraguard.io</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2E75B6"/>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2E75B6"/>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2026-04-01T09:52:33.304Z</dcterms:created>
  <dcterms:modified xsi:type="dcterms:W3CDTF">2026-04-01T09:52:33.304Z</dcterms:modified>
</cp:coreProperties>
</file>

<file path=docProps/custom.xml><?xml version="1.0" encoding="utf-8"?>
<Properties xmlns="http://schemas.openxmlformats.org/officeDocument/2006/custom-properties" xmlns:vt="http://schemas.openxmlformats.org/officeDocument/2006/docPropsVTypes"/>
</file>