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rPr>
          <w:rFonts w:ascii="Arial" w:cs="Arial" w:eastAsia="Arial" w:hAnsi="Arial"/>
          <w:b/>
          <w:bCs/>
          <w:color w:val="000000"/>
          <w:sz w:val="28"/>
          <w:szCs w:val="28"/>
        </w:rPr>
      </w:pPr>
      <w:r>
        <w:t xml:space="preserve">FUNDING MEMO</w:t>
      </w:r>
    </w:p>
    <w:p>
      <w:pPr>
        <w:spacing w:after="480"/>
        <w:rPr>
          <w:rFonts w:ascii="Arial" w:cs="Arial" w:eastAsia="Arial" w:hAnsi="Arial"/>
          <w:color w:val="EF4444"/>
          <w:sz w:val="24"/>
          <w:szCs w:val="24"/>
        </w:rPr>
      </w:pPr>
      <w:r>
        <w:t xml:space="preserve">NILStream™ — Athlete Endorsement Payment Orchestration</w:t>
      </w:r>
    </w:p>
    <w:p>
      <w:pPr>
        <w:pStyle w:val="Heading1"/>
      </w:pPr>
      <w:r>
        <w:t xml:space="preserve">Executive Summary</w:t>
      </w:r>
    </w:p>
    <w:p>
      <w:pPr>
        <w:spacing w:after="240"/>
      </w:pPr>
      <w:r>
        <w:t xml:space="preserve">NILStream™ is a B2B SaaS platform for NIL agencies to orchestrate athlete endorsement deals—from negotiation through compliance reporting. We are seeking $500K in pre-seed funding to build the MVP and land 2-3 pilot customers within 6 months.</w:t>
      </w:r>
    </w:p>
    <w:p>
      <w:pPr>
        <w:pStyle w:val="Heading1"/>
      </w:pPr>
      <w:r>
        <w:t xml:space="preserve">Market Problem</w:t>
      </w:r>
    </w:p>
    <w:p>
      <w:pPr>
        <w:spacing w:after="240"/>
      </w:pPr>
      <w:r>
        <w:t xml:space="preserve">The NIL (Name, Image, Likeness) market has exploded since the 2021 NCAA ruling permitting athletes to monetize their personal brands. The </w:t>
      </w:r>
      <w:r>
        <w:t xml:space="preserve">$2.5B market is growing 30% annually</w:t>
      </w:r>
      <w:r>
        <w:t xml:space="preserve"> and is fragmented across boutique agencies, big sports management firms (CAA, WME), and university compliance offices.</w:t>
      </w:r>
    </w:p>
    <w:p>
      <w:pPr>
        <w:spacing w:after="240"/>
      </w:pPr>
      <w:r>
        <w:t xml:space="preserve">However, NIL agencies lack operational infrastructure to manage deal flow, calculate complex payout splits (athlete/agent/platform), and maintain compliance records. Most rely on spreadsheets—leading to errors, audit risks, and inability to scale. Universities need transparent reporting of NIL activity for compliance. Existing solutions like Opendorse and HYRM are consumer-facing (fan-to-athlete), not B2B operations tools.</w:t>
      </w:r>
    </w:p>
    <w:p>
      <w:pPr>
        <w:pStyle w:val="Heading1"/>
      </w:pPr>
      <w:r>
        <w:t xml:space="preserve">Solution</w:t>
      </w:r>
    </w:p>
    <w:p>
      <w:pPr>
        <w:spacing w:after="120"/>
      </w:pPr>
      <w:r>
        <w:t xml:space="preserve">NILStream™ provides a centralized platform for NIL agencies to:</w:t>
      </w:r>
    </w:p>
    <w:p>
      <w:r>
        <w:t xml:space="preserve">Track deals from negotiation through payment and compliance reporting</w:t>
      </w:r>
    </w:p>
    <w:p>
      <w:r>
        <w:t xml:space="preserve">Automatically calculate and distribute payouts (athlete/agent/platform splits)</w:t>
      </w:r>
    </w:p>
    <w:p>
      <w:r>
        <w:t xml:space="preserve">Generate compliance reports and audit trails for regulators</w:t>
      </w:r>
    </w:p>
    <w:p>
      <w:pPr>
        <w:spacing w:after="240"/>
      </w:pPr>
      <w:r>
        <w:t xml:space="preserve">Integrate with Stripe Connect and ACH for real-time settlement</w:t>
      </w:r>
    </w:p>
    <w:p>
      <w:pPr>
        <w:spacing w:after="240"/>
      </w:pPr>
      <w:r>
        <w:t xml:space="preserve">Built on DUAL Network, our proprietary workflow orchestration framework, NILStream enables multi-party transparency (athletes, agents, brands, platforms) while enforcing compliance rules at every step.</w:t>
      </w:r>
    </w:p>
    <w:p>
      <w:pPr>
        <w:pStyle w:val="Heading1"/>
      </w:pPr>
      <w:r>
        <w:t xml:space="preserve">Business Model</w:t>
      </w:r>
    </w:p>
    <w:p>
      <w:r>
        <w:t xml:space="preserve">Tiered SaaS revenue + take-rate commission on deal 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EF4444" w:val="clear"/>
            <w:tcMar>
              <w:top w:type="dxa" w:w="80"/>
              <w:left w:type="dxa" w:w="120"/>
              <w:bottom w:type="dxa" w:w="80"/>
              <w:right w:type="dxa" w:w="120"/>
            </w:tcMar>
          </w:tcPr>
          <w:p>
            <w:pPr>
              <w:rPr>
                <w:b/>
                <w:bCs/>
                <w:color w:val="FFFFFF"/>
              </w:rPr>
            </w:pPr>
            <w:r>
              <w:t xml:space="preserve">Revenue Stream</w:t>
            </w:r>
          </w:p>
        </w:tc>
        <w:tc>
          <w:tcPr>
            <w:tcW w:type="dxa" w:w="4680"/>
            <w:tcBorders>
              <w:top w:val="single" w:color="CCCCCC" w:sz="1"/>
              <w:left w:val="single" w:color="CCCCCC" w:sz="1"/>
              <w:bottom w:val="single" w:color="CCCCCC" w:sz="1"/>
              <w:right w:val="single" w:color="CCCCCC" w:sz="1"/>
            </w:tcBorders>
            <w:shd w:fill="EF4444" w:val="clear"/>
            <w:tcMar>
              <w:top w:type="dxa" w:w="80"/>
              <w:left w:type="dxa" w:w="120"/>
              <w:bottom w:type="dxa" w:w="80"/>
              <w:right w:type="dxa" w:w="120"/>
            </w:tcMar>
          </w:tcPr>
          <w:p>
            <w:pPr>
              <w:rPr>
                <w:b/>
                <w:bCs/>
                <w:color w:val="FFFFFF"/>
              </w:rPr>
            </w:pPr>
            <w:r>
              <w:t xml:space="preserve">Amount</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SaaS Monthly (per agency)</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$2K–$10K</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Deal Flow Commission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1–2% of managed deals</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Compliance Reporting (Universities)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$500–$2K/month</w:t>
            </w:r>
          </w:p>
        </w:tc>
      </w:tr>
    </w:tbl>
    <w:p>
      <w:pPr>
        <w:spacing w:after="240"/>
      </w:pPr>
      <w:r>
        <w:t xml:space="preserve"/>
      </w:r>
    </w:p>
    <w:p>
      <w:pPr>
        <w:pStyle w:val="Heading1"/>
      </w:pPr>
      <w:r>
        <w:t xml:space="preserve">Traction</w:t>
      </w:r>
    </w:p>
    <w:p>
      <w:r>
        <w:t xml:space="preserve">Advanced conversations with 3 boutique NIL agencies; 2 LOIs signed for MVP access by Q3 2026</w:t>
      </w:r>
    </w:p>
    <w:p>
      <w:r>
        <w:t xml:space="preserve">DUAL Network infrastructure production-ready</w:t>
      </w:r>
    </w:p>
    <w:p>
      <w:pPr>
        <w:spacing w:after="240"/>
      </w:pPr>
      <w:r>
        <w:t xml:space="preserve">Founding team has 3+ years sports tech experience + 8 years fintech/payments expertise</w:t>
      </w:r>
    </w:p>
    <w:p>
      <w:pPr>
        <w:pStyle w:val="Heading1"/>
      </w:pPr>
      <w:r>
        <w:t xml:space="preserve">Market Sizing</w:t>
      </w:r>
    </w:p>
    <w:p>
      <w:r>
        <w:t xml:space="preserve">Primary: NIL Agencies (boutique + enterprise): $2.5B market growing 30%/year</w:t>
      </w:r>
    </w:p>
    <w:p>
      <w:r>
        <w:t xml:space="preserve">Secondary: Sports Management &amp; Representation: $20B+ TAM</w:t>
      </w:r>
    </w:p>
    <w:p>
      <w:pPr>
        <w:spacing w:after="240"/>
      </w:pPr>
      <w:r>
        <w:t xml:space="preserve">Tertiary: University Compliance Infrastructure: $1B+ (emerging regulatory demand)</w:t>
      </w:r>
    </w:p>
    <w:p>
      <w:pPr>
        <w:pStyle w:val="Heading1"/>
      </w:pPr>
      <w:r>
        <w:t xml:space="preserve">Use of Funds ($500K Pre-Seed)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80"/>
        <w:gridCol w:w="1440"/>
        <w:gridCol w:w="1440"/>
      </w:tblGrid>
      <w:tr>
        <w:tc>
          <w:tcPr>
            <w:tcW w:type="dxa" w:w="6480"/>
            <w:tcBorders>
              <w:top w:val="single" w:color="CCCCCC" w:sz="1"/>
              <w:left w:val="single" w:color="CCCCCC" w:sz="1"/>
              <w:bottom w:val="single" w:color="CCCCCC" w:sz="1"/>
              <w:right w:val="single" w:color="CCCCCC" w:sz="1"/>
            </w:tcBorders>
            <w:shd w:fill="EF4444" w:val="clear"/>
            <w:tcMar>
              <w:top w:type="dxa" w:w="80"/>
              <w:left w:type="dxa" w:w="120"/>
              <w:bottom w:type="dxa" w:w="80"/>
              <w:right w:type="dxa" w:w="120"/>
            </w:tcMar>
          </w:tcPr>
          <w:p>
            <w:pPr>
              <w:rPr>
                <w:b/>
                <w:bCs/>
                <w:color w:val="FFFFFF"/>
              </w:rPr>
            </w:pPr>
            <w:r>
              <w:t xml:space="preserve">Category</w:t>
            </w:r>
          </w:p>
        </w:tc>
        <w:tc>
          <w:tcPr>
            <w:tcW w:type="dxa" w:w="1440"/>
            <w:tcBorders>
              <w:top w:val="single" w:color="CCCCCC" w:sz="1"/>
              <w:left w:val="single" w:color="CCCCCC" w:sz="1"/>
              <w:bottom w:val="single" w:color="CCCCCC" w:sz="1"/>
              <w:right w:val="single" w:color="CCCCCC" w:sz="1"/>
            </w:tcBorders>
            <w:shd w:fill="EF4444" w:val="clear"/>
            <w:tcMar>
              <w:top w:type="dxa" w:w="80"/>
              <w:left w:type="dxa" w:w="120"/>
              <w:bottom w:type="dxa" w:w="80"/>
              <w:right w:type="dxa" w:w="120"/>
            </w:tcMar>
          </w:tcPr>
          <w:p>
            <w:pPr>
              <w:rPr>
                <w:b/>
                <w:bCs/>
                <w:color w:val="FFFFFF"/>
              </w:rPr>
            </w:pPr>
            <w:r>
              <w:t xml:space="preserve">Amount</w:t>
            </w:r>
          </w:p>
        </w:tc>
        <w:tc>
          <w:tcPr>
            <w:tcW w:type="dxa" w:w="1440"/>
            <w:tcBorders>
              <w:top w:val="single" w:color="CCCCCC" w:sz="1"/>
              <w:left w:val="single" w:color="CCCCCC" w:sz="1"/>
              <w:bottom w:val="single" w:color="CCCCCC" w:sz="1"/>
              <w:right w:val="single" w:color="CCCCCC" w:sz="1"/>
            </w:tcBorders>
            <w:shd w:fill="EF4444" w:val="clear"/>
            <w:tcMar>
              <w:top w:type="dxa" w:w="80"/>
              <w:left w:type="dxa" w:w="120"/>
              <w:bottom w:type="dxa" w:w="80"/>
              <w:right w:type="dxa" w:w="120"/>
            </w:tcMar>
          </w:tcPr>
          <w:p>
            <w:pPr>
              <w:rPr>
                <w:b/>
                <w:bCs/>
                <w:color w:val="FFFFFF"/>
              </w:rPr>
            </w:pPr>
            <w:r>
              <w:t xml:space="preserve">%</w:t>
            </w:r>
          </w:p>
        </w:tc>
      </w:tr>
      <w:tr>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Product Dev (MVP + DUAL integration)</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$200K</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40%</w:t>
            </w:r>
          </w:p>
        </w:tc>
      </w:tr>
      <w:tr>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Sales &amp; Partnerships (pilot agencies, CAA outreach)</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$120K</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24%</w:t>
            </w:r>
          </w:p>
        </w:tc>
      </w:tr>
      <w:tr>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Compliance &amp; Legal (NCAA regulations, audit framework)</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$80K</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16%</w:t>
            </w:r>
          </w:p>
        </w:tc>
      </w:tr>
      <w:tr>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Operations &amp; Admin (salaries for founder + 1)</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$60K</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12%</w:t>
            </w:r>
          </w:p>
        </w:tc>
      </w:tr>
      <w:tr>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rPr>
                <w:b/>
                <w:bCs/>
              </w:rPr>
            </w:pPr>
            <w:r>
              <w:t xml:space="preserve">Contingency</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rPr>
                <w:b/>
                <w:bCs/>
              </w:rPr>
            </w:pPr>
            <w:r>
              <w:t xml:space="preserve">$40K</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rPr>
                <w:b/>
                <w:bCs/>
              </w:rPr>
            </w:pPr>
            <w:r>
              <w:t xml:space="preserve">8%</w:t>
            </w:r>
          </w:p>
        </w:tc>
      </w:tr>
    </w:tbl>
    <w:p>
      <w:pPr>
        <w:spacing w:after="240"/>
      </w:pPr>
      <w:r>
        <w:t xml:space="preserve"/>
      </w:r>
    </w:p>
    <w:p>
      <w:pPr>
        <w:pStyle w:val="Heading1"/>
      </w:pPr>
      <w:r>
        <w:t xml:space="preserve">5-Year Financial Projections</w:t>
      </w:r>
    </w:p>
    <w:p>
      <w:r>
        <w:t xml:space="preserve">Assumptions: 2 pilot agencies Y1 → 40% YoY growth in customer count, $150K Y1 ARR → $50M Y5 ARR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CCCCCC" w:sz="1"/>
              <w:left w:val="single" w:color="CCCCCC" w:sz="1"/>
              <w:bottom w:val="single" w:color="CCCCCC" w:sz="1"/>
              <w:right w:val="single" w:color="CCCCCC" w:sz="1"/>
            </w:tcBorders>
            <w:shd w:fill="EF4444" w:val="clear"/>
            <w:tcMar>
              <w:top w:type="dxa" w:w="80"/>
              <w:left w:type="dxa" w:w="80"/>
              <w:bottom w:type="dxa" w:w="80"/>
              <w:right w:type="dxa" w:w="80"/>
            </w:tcMar>
          </w:tcPr>
          <w:p>
            <w:pPr>
              <w:rPr>
                <w:b/>
                <w:bCs/>
                <w:color w:val="FFFFFF"/>
                <w:sz w:val="20"/>
                <w:szCs w:val="20"/>
              </w:rPr>
            </w:pPr>
            <w:r>
              <w:t xml:space="preserve">Metric</w:t>
            </w:r>
          </w:p>
        </w:tc>
        <w:tc>
          <w:tcPr>
            <w:tcW w:type="dxa" w:w="1560"/>
            <w:tcBorders>
              <w:top w:val="single" w:color="CCCCCC" w:sz="1"/>
              <w:left w:val="single" w:color="CCCCCC" w:sz="1"/>
              <w:bottom w:val="single" w:color="CCCCCC" w:sz="1"/>
              <w:right w:val="single" w:color="CCCCCC" w:sz="1"/>
            </w:tcBorders>
            <w:shd w:fill="EF4444" w:val="clear"/>
            <w:tcMar>
              <w:top w:type="dxa" w:w="80"/>
              <w:left w:type="dxa" w:w="80"/>
              <w:bottom w:type="dxa" w:w="80"/>
              <w:right w:type="dxa" w:w="80"/>
            </w:tcMar>
          </w:tcPr>
          <w:p>
            <w:pPr>
              <w:rPr>
                <w:b/>
                <w:bCs/>
                <w:color w:val="FFFFFF"/>
                <w:sz w:val="20"/>
                <w:szCs w:val="20"/>
              </w:rPr>
            </w:pPr>
            <w:r>
              <w:t xml:space="preserve">Y1</w:t>
            </w:r>
          </w:p>
        </w:tc>
        <w:tc>
          <w:tcPr>
            <w:tcW w:type="dxa" w:w="1560"/>
            <w:tcBorders>
              <w:top w:val="single" w:color="CCCCCC" w:sz="1"/>
              <w:left w:val="single" w:color="CCCCCC" w:sz="1"/>
              <w:bottom w:val="single" w:color="CCCCCC" w:sz="1"/>
              <w:right w:val="single" w:color="CCCCCC" w:sz="1"/>
            </w:tcBorders>
            <w:shd w:fill="EF4444" w:val="clear"/>
            <w:tcMar>
              <w:top w:type="dxa" w:w="80"/>
              <w:left w:type="dxa" w:w="80"/>
              <w:bottom w:type="dxa" w:w="80"/>
              <w:right w:type="dxa" w:w="80"/>
            </w:tcMar>
          </w:tcPr>
          <w:p>
            <w:pPr>
              <w:rPr>
                <w:b/>
                <w:bCs/>
                <w:color w:val="FFFFFF"/>
                <w:sz w:val="20"/>
                <w:szCs w:val="20"/>
              </w:rPr>
            </w:pPr>
            <w:r>
              <w:t xml:space="preserve">Y2</w:t>
            </w:r>
          </w:p>
        </w:tc>
        <w:tc>
          <w:tcPr>
            <w:tcW w:type="dxa" w:w="1560"/>
            <w:tcBorders>
              <w:top w:val="single" w:color="CCCCCC" w:sz="1"/>
              <w:left w:val="single" w:color="CCCCCC" w:sz="1"/>
              <w:bottom w:val="single" w:color="CCCCCC" w:sz="1"/>
              <w:right w:val="single" w:color="CCCCCC" w:sz="1"/>
            </w:tcBorders>
            <w:shd w:fill="EF4444" w:val="clear"/>
            <w:tcMar>
              <w:top w:type="dxa" w:w="80"/>
              <w:left w:type="dxa" w:w="80"/>
              <w:bottom w:type="dxa" w:w="80"/>
              <w:right w:type="dxa" w:w="80"/>
            </w:tcMar>
          </w:tcPr>
          <w:p>
            <w:pPr>
              <w:rPr>
                <w:b/>
                <w:bCs/>
                <w:color w:val="FFFFFF"/>
                <w:sz w:val="20"/>
                <w:szCs w:val="20"/>
              </w:rPr>
            </w:pPr>
            <w:r>
              <w:t xml:space="preserve">Y3</w:t>
            </w:r>
          </w:p>
        </w:tc>
        <w:tc>
          <w:tcPr>
            <w:tcW w:type="dxa" w:w="1560"/>
            <w:tcBorders>
              <w:top w:val="single" w:color="CCCCCC" w:sz="1"/>
              <w:left w:val="single" w:color="CCCCCC" w:sz="1"/>
              <w:bottom w:val="single" w:color="CCCCCC" w:sz="1"/>
              <w:right w:val="single" w:color="CCCCCC" w:sz="1"/>
            </w:tcBorders>
            <w:shd w:fill="EF4444" w:val="clear"/>
            <w:tcMar>
              <w:top w:type="dxa" w:w="80"/>
              <w:left w:type="dxa" w:w="80"/>
              <w:bottom w:type="dxa" w:w="80"/>
              <w:right w:type="dxa" w:w="80"/>
            </w:tcMar>
          </w:tcPr>
          <w:p>
            <w:pPr>
              <w:rPr>
                <w:b/>
                <w:bCs/>
                <w:color w:val="FFFFFF"/>
                <w:sz w:val="20"/>
                <w:szCs w:val="20"/>
              </w:rPr>
            </w:pPr>
            <w:r>
              <w:t xml:space="preserve">Y4</w:t>
            </w:r>
          </w:p>
        </w:tc>
        <w:tc>
          <w:tcPr>
            <w:tcW w:type="dxa" w:w="1560"/>
            <w:tcBorders>
              <w:top w:val="single" w:color="CCCCCC" w:sz="1"/>
              <w:left w:val="single" w:color="CCCCCC" w:sz="1"/>
              <w:bottom w:val="single" w:color="CCCCCC" w:sz="1"/>
              <w:right w:val="single" w:color="CCCCCC" w:sz="1"/>
            </w:tcBorders>
            <w:shd w:fill="EF4444" w:val="clear"/>
            <w:tcMar>
              <w:top w:type="dxa" w:w="80"/>
              <w:left w:type="dxa" w:w="80"/>
              <w:bottom w:type="dxa" w:w="80"/>
              <w:right w:type="dxa" w:w="80"/>
            </w:tcMar>
          </w:tcPr>
          <w:p>
            <w:pPr>
              <w:rPr>
                <w:b/>
                <w:bCs/>
                <w:color w:val="FFFFFF"/>
                <w:sz w:val="20"/>
                <w:szCs w:val="20"/>
              </w:rPr>
            </w:pPr>
            <w:r>
              <w:t xml:space="preserve">Y5</w:t>
            </w:r>
          </w:p>
        </w:tc>
      </w:tr>
      <w:tr>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ARR</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$150K</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$2M</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$10M</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$25M</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$50M</w:t>
            </w:r>
          </w:p>
        </w:tc>
      </w:tr>
      <w:tr>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Agencies</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2</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8</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25</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60</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120</w:t>
            </w:r>
          </w:p>
        </w:tc>
      </w:tr>
      <w:tr>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Deal Flow</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$2M</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$50M</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$200M</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$500M</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r>
              <w:t xml:space="preserve">$1B</w:t>
            </w:r>
          </w:p>
        </w:tc>
      </w:tr>
    </w:tbl>
    <w:p>
      <w:pPr>
        <w:spacing w:after="240"/>
      </w:pPr>
      <w:r>
        <w:t xml:space="preserve"/>
      </w:r>
    </w:p>
    <w:p>
      <w:pPr>
        <w:pStyle w:val="Heading1"/>
      </w:pPr>
      <w:r>
        <w:t xml:space="preserve">Team</w:t>
      </w:r>
    </w:p>
    <w:p>
      <w:r>
        <w:t xml:space="preserve">CEO: 3 years sports tech (NIL platforms), 8 years fintech/payments infrastructure</w:t>
      </w:r>
    </w:p>
    <w:p>
      <w:r>
        <w:t xml:space="preserve">CTO: DUAL Network architect, 10+ years backend systems at Series B–C startups</w:t>
      </w:r>
    </w:p>
    <w:p>
      <w:pPr>
        <w:spacing w:after="240"/>
      </w:pPr>
      <w:r>
        <w:t xml:space="preserve">Advisor: Former CAA executive, $500M+ NIL portfolio experience</w:t>
      </w:r>
    </w:p>
    <w:p>
      <w:pPr>
        <w:pStyle w:val="Heading1"/>
      </w:pPr>
      <w:r>
        <w:t xml:space="preserve">Why Now?</w:t>
      </w:r>
    </w:p>
    <w:p>
      <w:r>
        <w:t xml:space="preserve">NIL is a $2.5B+ market with 30% annual growth. Agencies are desperate for operational infrastructure. We are first-mover in B2B SaaS for endorsement deal orchestration. This is the year to establish market leadership before larger players (Stripe, Braintree, agency holding companies) build or acquire competing solutions.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EF4444"/>
      <w:sz w:val="32"/>
      <w:szCs w:val="32"/>
    </w:rPr>
  </w:style>
  <w:style w:type="paragraph" w:styleId="Heading2">
    <w:name w:val="Heading 2"/>
    <w:basedOn w:val="Normal"/>
    <w:next w:val="Normal"/>
    <w:qFormat/>
    <w:pPr>
      <w:spacing w:after="10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2026-04-01T10:22:52.424Z</dcterms:created>
  <dcterms:modified xsi:type="dcterms:W3CDTF">2026-04-01T10:22:52.424Z</dcterms:modified>
</cp:coreProperties>
</file>

<file path=docProps/custom.xml><?xml version="1.0" encoding="utf-8"?>
<Properties xmlns="http://schemas.openxmlformats.org/officeDocument/2006/custom-properties" xmlns:vt="http://schemas.openxmlformats.org/officeDocument/2006/docPropsVTypes"/>
</file>