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sz w:val="32"/>
          <w:szCs w:val="32"/>
        </w:rPr>
        <w:t xml:space="preserve">PharmChain™</w:t>
      </w:r>
    </w:p>
    <w:p>
      <w:pPr>
        <w:spacing w:after="240"/>
      </w:pPr>
      <w:r>
        <w:t xml:space="preserve">Manufacturer-to-Dispenser Product Family Custody Ledger</w:t>
      </w:r>
    </w:p>
    <w:p>
      <w:pPr>
        <w:pStyle w:val="Heading1"/>
      </w:pPr>
      <w:r>
        <w:t xml:space="preserve">Executive Summary</w:t>
      </w:r>
    </w:p>
    <w:p>
      <w:r>
        <w:t xml:space="preserve">PharmChain™ is a DUAL Network-native custody ledger for pharmaceutical supply chains, addressing the $2B DSCSA compliance market. We enable manufacturers, wholesalers, and dispensers to track serialized drug batches from production to dispensing with immutable, timestamped custody events. Our solution reduces compliance audit costs by 80%, eliminates diversion risk, and generates revenue at $0.01–$0.05 per serialized unit.</w:t>
      </w:r>
    </w:p>
    <w:p>
      <w:pPr>
        <w:spacing w:after="240"/>
      </w:pPr>
      <w:r>
        <w:t xml:space="preserve"/>
      </w:r>
    </w:p>
    <w:p>
      <w:pPr>
        <w:pStyle w:val="Heading1"/>
      </w:pPr>
      <w:r>
        <w:t xml:space="preserve">Problem</w:t>
      </w:r>
    </w:p>
    <w:p>
      <w:r>
        <w:t xml:space="preserve">The pharma industry faces three critical challenges:</w:t>
      </w:r>
    </w:p>
    <w:p>
      <w:r>
        <w:t xml:space="preserve">1. DSCSA Mandate Without Custody Ledger: Federal law requires serialization of all units, but provides no enforcement mechanism for custody tracking. Pharma companies spend 18–24 months integrating legacy ERP systems to achieve compliance.</w:t>
      </w:r>
    </w:p>
    <w:p>
      <w:r>
        <w:t xml:space="preserve">2. Counterfeits &amp; Diversion Cost $200B+: Without chain-of-custody proof, counterfeit drugs flood markets and authorized wholesalers divert inventory. The industry has no real-time detection system.</w:t>
      </w:r>
    </w:p>
    <w:p>
      <w:r>
        <w:t xml:space="preserve">3. Siloed Systems: Manufacturers, wholesalers, and pharmacies operate independently. Manual handoffs, email-based alerts, and spreadsheet audits create gaps and compliance blind spots.</w:t>
      </w:r>
    </w:p>
    <w:p>
      <w:pPr>
        <w:spacing w:after="240"/>
      </w:pPr>
      <w:r>
        <w:t xml:space="preserve"/>
      </w:r>
    </w:p>
    <w:p>
      <w:pPr>
        <w:pStyle w:val="Heading1"/>
      </w:pPr>
      <w:r>
        <w:t xml:space="preserve">Solution</w:t>
      </w:r>
    </w:p>
    <w:p>
      <w:r>
        <w:t xml:space="preserve">PharmChain™ builds an immutable custody ledger on the DUAL Network. Each serialized batch embeds manufacturer signature, wholesaler handoff events, pharmacy receipt &amp; dispensing, and a timestamped audit trail. State machine: Manufactured → In_Transit → At_Pharmacy → Dispensed. Features include degraded mode for offline scenarios, real-time event bus for stakeholder notifications, and compliance layer enforcing DSCSA rules natively.</w:t>
      </w:r>
    </w:p>
    <w:p>
      <w:pPr>
        <w:spacing w:after="240"/>
      </w:pPr>
      <w:r>
        <w:t xml:space="preserve"/>
      </w:r>
    </w:p>
    <w:p>
      <w:pPr>
        <w:pStyle w:val="Heading1"/>
      </w:pPr>
      <w:r>
        <w:t xml:space="preserve">Market Opportunity</w:t>
      </w:r>
    </w:p>
    <w:p>
      <w:r>
        <w:t xml:space="preserve">TAM: $2B DSCSA compliance + $8B supply chain integrity = $10B addressable market. Target buyers: Novo Nordisk, Eli Lilly, Pfizer, McKesson, Cardinal Health. Regulatory tailwind: DSCSA enforcement expanding; EU UPD mandate 2027.</w:t>
      </w:r>
    </w:p>
    <w:p>
      <w:pPr>
        <w:spacing w:after="240"/>
      </w:pPr>
      <w:r>
        <w:t xml:space="preserve"/>
      </w:r>
    </w:p>
    <w:p>
      <w:pPr>
        <w:pStyle w:val="Heading1"/>
      </w:pPr>
      <w:r>
        <w:t xml:space="preserve">Business Model</w:t>
      </w:r>
    </w:p>
    <w:p>
      <w:r>
        <w:t xml:space="preserve">Revenue: $0.01–$0.05 per serialized unit + monthly flat fee per product family. Y1: $150K–$500K from 1 drug family, 1 wholesaler, 3–5 pharmacies. Gross margin: 75%+ (network effects, minimal incremental cost).</w:t>
      </w:r>
    </w:p>
    <w:p>
      <w:pPr>
        <w:spacing w:after="240"/>
      </w:pPr>
      <w:r>
        <w:t xml:space="preserve"/>
      </w:r>
    </w:p>
    <w:p>
      <w:pPr>
        <w:pStyle w:val="Heading1"/>
      </w:pPr>
      <w:r>
        <w:t xml:space="preserve">Competitive Advantage</w:t>
      </w:r>
    </w:p>
    <w:p>
      <w:r>
        <w:t xml:space="preserve">No direct competitors building DSCSA-native custody ledgers on blockchain. Legacy ERP vendors &amp; blockchain pilots take 18–24 months; PharmChain™ achieves compliance in 90 days via DUAL Network mutable state + native compliance layer.</w:t>
      </w:r>
    </w:p>
    <w:p>
      <w:pPr>
        <w:spacing w:after="240"/>
      </w:pPr>
      <w:r>
        <w:t xml:space="preserve"/>
      </w:r>
    </w:p>
    <w:p>
      <w:pPr>
        <w:pStyle w:val="Heading1"/>
      </w:pPr>
      <w:r>
        <w:t xml:space="preserve">5-Year Financial Projections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Borders>
              <w:top w:val="single" w:color="CCCCCC" w:sz="1"/>
              <w:left w:val="single" w:color="CCCCCC" w:sz="1"/>
              <w:bottom w:val="single" w:color="CCCCCC" w:sz="1"/>
              <w:right w:val="single" w:color="CCCCCC" w:sz="1"/>
            </w:tcBorders>
            <w:shd w:fill="D5E8F0" w:val="clear"/>
          </w:tcPr>
          <w:p>
            <w:r>
              <w:rPr>
                <w:b/>
                <w:bCs/>
              </w:rPr>
              <w:t xml:space="preserve">Year</w:t>
            </w:r>
          </w:p>
        </w:tc>
        <w:tc>
          <w:tcPr>
            <w:tcBorders>
              <w:top w:val="single" w:color="CCCCCC" w:sz="1"/>
              <w:left w:val="single" w:color="CCCCCC" w:sz="1"/>
              <w:bottom w:val="single" w:color="CCCCCC" w:sz="1"/>
              <w:right w:val="single" w:color="CCCCCC" w:sz="1"/>
            </w:tcBorders>
            <w:shd w:fill="D5E8F0" w:val="clear"/>
          </w:tcPr>
          <w:p>
            <w:r>
              <w:rPr>
                <w:b/>
                <w:bCs/>
              </w:rPr>
              <w:t xml:space="preserve">2026</w:t>
            </w:r>
          </w:p>
        </w:tc>
        <w:tc>
          <w:tcPr>
            <w:tcBorders>
              <w:top w:val="single" w:color="CCCCCC" w:sz="1"/>
              <w:left w:val="single" w:color="CCCCCC" w:sz="1"/>
              <w:bottom w:val="single" w:color="CCCCCC" w:sz="1"/>
              <w:right w:val="single" w:color="CCCCCC" w:sz="1"/>
            </w:tcBorders>
            <w:shd w:fill="D5E8F0" w:val="clear"/>
          </w:tcPr>
          <w:p>
            <w:r>
              <w:rPr>
                <w:b/>
                <w:bCs/>
              </w:rPr>
              <w:t xml:space="preserve">2027</w:t>
            </w:r>
          </w:p>
        </w:tc>
        <w:tc>
          <w:tcPr>
            <w:tcBorders>
              <w:top w:val="single" w:color="CCCCCC" w:sz="1"/>
              <w:left w:val="single" w:color="CCCCCC" w:sz="1"/>
              <w:bottom w:val="single" w:color="CCCCCC" w:sz="1"/>
              <w:right w:val="single" w:color="CCCCCC" w:sz="1"/>
            </w:tcBorders>
            <w:shd w:fill="D5E8F0" w:val="clear"/>
          </w:tcPr>
          <w:p>
            <w:r>
              <w:rPr>
                <w:b/>
                <w:bCs/>
              </w:rPr>
              <w:t xml:space="preserve">2028</w:t>
            </w:r>
          </w:p>
        </w:tc>
        <w:tc>
          <w:tcPr>
            <w:tcBorders>
              <w:top w:val="single" w:color="CCCCCC" w:sz="1"/>
              <w:left w:val="single" w:color="CCCCCC" w:sz="1"/>
              <w:bottom w:val="single" w:color="CCCCCC" w:sz="1"/>
              <w:right w:val="single" w:color="CCCCCC" w:sz="1"/>
            </w:tcBorders>
            <w:shd w:fill="D5E8F0" w:val="clear"/>
          </w:tcPr>
          <w:p>
            <w:r>
              <w:rPr>
                <w:b/>
                <w:bCs/>
              </w:rPr>
              <w:t xml:space="preserve">2030</w:t>
            </w:r>
          </w:p>
        </w:tc>
      </w:tr>
      <w:tr>
        <w:tc>
          <w:tcPr>
            <w:tcBorders>
              <w:top w:val="single" w:color="CCCCCC" w:sz="1"/>
              <w:left w:val="single" w:color="CCCCCC" w:sz="1"/>
              <w:bottom w:val="single" w:color="CCCCCC" w:sz="1"/>
              <w:right w:val="single" w:color="CCCCCC" w:sz="1"/>
            </w:tcBorders>
          </w:tcPr>
          <w:p>
            <w:r>
              <w:t xml:space="preserve">Revenue</w:t>
            </w:r>
          </w:p>
        </w:tc>
        <w:tc>
          <w:tcPr>
            <w:tcBorders>
              <w:top w:val="single" w:color="CCCCCC" w:sz="1"/>
              <w:left w:val="single" w:color="CCCCCC" w:sz="1"/>
              <w:bottom w:val="single" w:color="CCCCCC" w:sz="1"/>
              <w:right w:val="single" w:color="CCCCCC" w:sz="1"/>
            </w:tcBorders>
          </w:tcPr>
          <w:p>
            <w:r>
              <w:t xml:space="preserve">$500K</w:t>
            </w:r>
          </w:p>
        </w:tc>
        <w:tc>
          <w:tcPr>
            <w:tcBorders>
              <w:top w:val="single" w:color="CCCCCC" w:sz="1"/>
              <w:left w:val="single" w:color="CCCCCC" w:sz="1"/>
              <w:bottom w:val="single" w:color="CCCCCC" w:sz="1"/>
              <w:right w:val="single" w:color="CCCCCC" w:sz="1"/>
            </w:tcBorders>
          </w:tcPr>
          <w:p>
            <w:r>
              <w:t xml:space="preserve">$5M</w:t>
            </w:r>
          </w:p>
        </w:tc>
        <w:tc>
          <w:tcPr>
            <w:tcBorders>
              <w:top w:val="single" w:color="CCCCCC" w:sz="1"/>
              <w:left w:val="single" w:color="CCCCCC" w:sz="1"/>
              <w:bottom w:val="single" w:color="CCCCCC" w:sz="1"/>
              <w:right w:val="single" w:color="CCCCCC" w:sz="1"/>
            </w:tcBorders>
          </w:tcPr>
          <w:p>
            <w:r>
              <w:t xml:space="preserve">$20M</w:t>
            </w:r>
          </w:p>
        </w:tc>
        <w:tc>
          <w:tcPr>
            <w:tcBorders>
              <w:top w:val="single" w:color="CCCCCC" w:sz="1"/>
              <w:left w:val="single" w:color="CCCCCC" w:sz="1"/>
              <w:bottom w:val="single" w:color="CCCCCC" w:sz="1"/>
              <w:right w:val="single" w:color="CCCCCC" w:sz="1"/>
            </w:tcBorders>
          </w:tcPr>
          <w:p>
            <w:r>
              <w:t xml:space="preserve">$50M+</w:t>
            </w:r>
          </w:p>
        </w:tc>
      </w:tr>
      <w:tr>
        <w:tc>
          <w:tcPr>
            <w:tcBorders>
              <w:top w:val="single" w:color="CCCCCC" w:sz="1"/>
              <w:left w:val="single" w:color="CCCCCC" w:sz="1"/>
              <w:bottom w:val="single" w:color="CCCCCC" w:sz="1"/>
              <w:right w:val="single" w:color="CCCCCC" w:sz="1"/>
            </w:tcBorders>
          </w:tcPr>
          <w:p>
            <w:r>
              <w:t xml:space="preserve">Net Income</w:t>
            </w:r>
          </w:p>
        </w:tc>
        <w:tc>
          <w:tcPr>
            <w:tcBorders>
              <w:top w:val="single" w:color="CCCCCC" w:sz="1"/>
              <w:left w:val="single" w:color="CCCCCC" w:sz="1"/>
              <w:bottom w:val="single" w:color="CCCCCC" w:sz="1"/>
              <w:right w:val="single" w:color="CCCCCC" w:sz="1"/>
            </w:tcBorders>
          </w:tcPr>
          <w:p>
            <w:r>
              <w:t xml:space="preserve">-$200K</w:t>
            </w:r>
          </w:p>
        </w:tc>
        <w:tc>
          <w:tcPr>
            <w:tcBorders>
              <w:top w:val="single" w:color="CCCCCC" w:sz="1"/>
              <w:left w:val="single" w:color="CCCCCC" w:sz="1"/>
              <w:bottom w:val="single" w:color="CCCCCC" w:sz="1"/>
              <w:right w:val="single" w:color="CCCCCC" w:sz="1"/>
            </w:tcBorders>
          </w:tcPr>
          <w:p>
            <w:r>
              <w:t xml:space="preserve">$500K</w:t>
            </w:r>
          </w:p>
        </w:tc>
        <w:tc>
          <w:tcPr>
            <w:tcBorders>
              <w:top w:val="single" w:color="CCCCCC" w:sz="1"/>
              <w:left w:val="single" w:color="CCCCCC" w:sz="1"/>
              <w:bottom w:val="single" w:color="CCCCCC" w:sz="1"/>
              <w:right w:val="single" w:color="CCCCCC" w:sz="1"/>
            </w:tcBorders>
          </w:tcPr>
          <w:p>
            <w:r>
              <w:t xml:space="preserve">$8M</w:t>
            </w:r>
          </w:p>
        </w:tc>
        <w:tc>
          <w:tcPr>
            <w:tcBorders>
              <w:top w:val="single" w:color="CCCCCC" w:sz="1"/>
              <w:left w:val="single" w:color="CCCCCC" w:sz="1"/>
              <w:bottom w:val="single" w:color="CCCCCC" w:sz="1"/>
              <w:right w:val="single" w:color="CCCCCC" w:sz="1"/>
            </w:tcBorders>
          </w:tcPr>
          <w:p>
            <w:r>
              <w:t xml:space="preserve">$25M+</w:t>
            </w:r>
          </w:p>
        </w:tc>
      </w:tr>
      <w:tr>
        <w:tc>
          <w:tcPr>
            <w:tcBorders>
              <w:top w:val="single" w:color="CCCCCC" w:sz="1"/>
              <w:left w:val="single" w:color="CCCCCC" w:sz="1"/>
              <w:bottom w:val="single" w:color="CCCCCC" w:sz="1"/>
              <w:right w:val="single" w:color="CCCCCC" w:sz="1"/>
            </w:tcBorders>
          </w:tcPr>
          <w:p>
            <w:r>
              <w:t xml:space="preserve">Gross Margin</w:t>
            </w:r>
          </w:p>
        </w:tc>
        <w:tc>
          <w:tcPr>
            <w:tcBorders>
              <w:top w:val="single" w:color="CCCCCC" w:sz="1"/>
              <w:left w:val="single" w:color="CCCCCC" w:sz="1"/>
              <w:bottom w:val="single" w:color="CCCCCC" w:sz="1"/>
              <w:right w:val="single" w:color="CCCCCC" w:sz="1"/>
            </w:tcBorders>
          </w:tcPr>
          <w:p>
            <w:r>
              <w:t xml:space="preserve">65%</w:t>
            </w:r>
          </w:p>
        </w:tc>
        <w:tc>
          <w:tcPr>
            <w:tcBorders>
              <w:top w:val="single" w:color="CCCCCC" w:sz="1"/>
              <w:left w:val="single" w:color="CCCCCC" w:sz="1"/>
              <w:bottom w:val="single" w:color="CCCCCC" w:sz="1"/>
              <w:right w:val="single" w:color="CCCCCC" w:sz="1"/>
            </w:tcBorders>
          </w:tcPr>
          <w:p>
            <w:r>
              <w:t xml:space="preserve">72%</w:t>
            </w:r>
          </w:p>
        </w:tc>
        <w:tc>
          <w:tcPr>
            <w:tcBorders>
              <w:top w:val="single" w:color="CCCCCC" w:sz="1"/>
              <w:left w:val="single" w:color="CCCCCC" w:sz="1"/>
              <w:bottom w:val="single" w:color="CCCCCC" w:sz="1"/>
              <w:right w:val="single" w:color="CCCCCC" w:sz="1"/>
            </w:tcBorders>
          </w:tcPr>
          <w:p>
            <w:r>
              <w:t xml:space="preserve">75%</w:t>
            </w:r>
          </w:p>
        </w:tc>
        <w:tc>
          <w:tcPr>
            <w:tcBorders>
              <w:top w:val="single" w:color="CCCCCC" w:sz="1"/>
              <w:left w:val="single" w:color="CCCCCC" w:sz="1"/>
              <w:bottom w:val="single" w:color="CCCCCC" w:sz="1"/>
              <w:right w:val="single" w:color="CCCCCC" w:sz="1"/>
            </w:tcBorders>
          </w:tcPr>
          <w:p>
            <w:r>
              <w:t xml:space="preserve">80%</w:t>
            </w:r>
          </w:p>
        </w:tc>
      </w:tr>
    </w:tbl>
    <w:p>
      <w:pPr>
        <w:spacing w:after="240"/>
      </w:pPr>
      <w:r>
        <w:t xml:space="preserve"/>
      </w:r>
    </w:p>
    <w:p>
      <w:pPr>
        <w:pStyle w:val="Heading1"/>
      </w:pPr>
      <w:r>
        <w:t xml:space="preserve">Team</w:t>
      </w:r>
    </w:p>
    <w:p>
      <w:r>
        <w:t xml:space="preserve">Founder/CEO: Pharma supply chain expert, 12+ years in logistics &amp; blockchain. CTO: DUAL Network protocol contributor. Head of Regulatory: Former FDA DSCSA compliance lead. Advisors: Novo Nordisk supply chain VP, McKesson CIO.</w:t>
      </w:r>
    </w:p>
    <w:p>
      <w:pPr>
        <w:spacing w:after="240"/>
      </w:pPr>
      <w:r>
        <w:t xml:space="preserve"/>
      </w:r>
    </w:p>
    <w:p>
      <w:pPr>
        <w:pStyle w:val="Heading1"/>
      </w:pPr>
      <w:r>
        <w:t xml:space="preserve">Ask</w:t>
      </w:r>
    </w:p>
    <w:p>
      <w:r>
        <w:t xml:space="preserve">Pre-seed: $500K. Use: 50% Engineering ($250K), 25% Sales ($125K), 15% Compliance ($75K), 10% Operations ($50K). Runway: 18 months to Series 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240"/>
      <w:outlineLvl w:val="0"/>
    </w:pPr>
    <w:rPr>
      <w:rFonts w:ascii="Arial" w:cs="Arial" w:eastAsia="Arial" w:hAnsi="Arial"/>
      <w:b/>
      <w:bCs/>
      <w:sz w:val="32"/>
      <w:szCs w:val="32"/>
    </w:rPr>
  </w:style>
  <w:style w:type="paragraph" w:styleId="Heading2">
    <w:name w:val="Heading 2"/>
    <w:basedOn w:val="Normal"/>
    <w:next w:val="Normal"/>
    <w:pPr>
      <w:spacing w:after="10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2026-04-01T08:54:25.608Z</dcterms:created>
  <dcterms:modified xsi:type="dcterms:W3CDTF">2026-04-01T08:54:25.609Z</dcterms:modified>
</cp:coreProperties>
</file>

<file path=docProps/custom.xml><?xml version="1.0" encoding="utf-8"?>
<Properties xmlns="http://schemas.openxmlformats.org/officeDocument/2006/custom-properties" xmlns:vt="http://schemas.openxmlformats.org/officeDocument/2006/docPropsVTypes"/>
</file>