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t xml:space="preserve">PRODUCT IDENTITY GRAPH</w:t>
      </w:r>
    </w:p>
    <w:p>
      <w:pPr>
        <w:spacing w:after="200"/>
        <w:jc w:val="center"/>
      </w:pPr>
      <w:r>
        <w:t xml:space="preserve">Executive Memorandum</w:t>
      </w:r>
    </w:p>
    <w:p>
      <w:pPr>
        <w:spacing w:after="400"/>
        <w:jc w:val="center"/>
      </w:pPr>
      <w:r>
        <w:t xml:space="preserve">Living Digital Product Passports on DUAL Network</w:t>
      </w:r>
    </w:p>
    <w:p>
      <w:pPr>
        <w:pStyle w:val="Heading2"/>
        <w:spacing w:after="100" w:before="200"/>
      </w:pPr>
      <w:r>
        <w:t xml:space="preserve">EXECUTIVE SUMMARY</w:t>
      </w:r>
    </w:p>
    <w:p>
      <w:pPr>
        <w:spacing w:after="100"/>
      </w:pPr>
      <w:r>
        <w:t xml:space="preserve">Product Identity Graph is a DUAL Network-native solution enabling dynamic, compliant digital product passports (DPPs) for the EU's regulatory mandate. Unlike static PDF-based systems, our Object DNA tokens maintain live state throughout a product's lifecycle—from manufacturing through end-of-life.</w:t>
      </w:r>
    </w:p>
    <w:p>
      <w:pPr>
        <w:spacing w:after="50"/>
      </w:pPr>
      <w:r>
        <w:t xml:space="preserve">Key Highlights:</w:t>
      </w:r>
    </w:p>
    <w:p>
      <w:pPr>
        <w:pStyle w:val="ListParagraph"/>
        <w:numPr>
          <w:ilvl w:val="0"/>
          <w:numId w:val="1"/>
        </w:numPr>
        <w:spacing w:after="50"/>
      </w:pPr>
      <w:r>
        <w:t xml:space="preserve">EU DPP mandate (ESPR) drives 200M+ products annually requiring compliance by 2027</w:t>
      </w:r>
    </w:p>
    <w:p>
      <w:pPr>
        <w:pStyle w:val="ListParagraph"/>
        <w:numPr>
          <w:ilvl w:val="0"/>
          <w:numId w:val="1"/>
        </w:numPr>
        <w:spacing w:after="50"/>
      </w:pPr>
      <w:r>
        <w:t xml:space="preserve">51.2M tokens deployed on DUAL; 11.6M active wallets; 538M transactions demonstrate platform viability</w:t>
      </w:r>
    </w:p>
    <w:p>
      <w:pPr>
        <w:pStyle w:val="ListParagraph"/>
        <w:numPr>
          <w:ilvl w:val="0"/>
          <w:numId w:val="1"/>
        </w:numPr>
        <w:spacing w:after="50"/>
      </w:pPr>
      <w:r>
        <w:t xml:space="preserve">$50B+ TAM (EU DPP infrastructure); $200M Year-3 SOM target</w:t>
      </w:r>
    </w:p>
    <w:p>
      <w:pPr>
        <w:pStyle w:val="ListParagraph"/>
        <w:numPr>
          <w:ilvl w:val="0"/>
          <w:numId w:val="1"/>
        </w:numPr>
        <w:spacing w:after="400"/>
      </w:pPr>
      <w:r>
        <w:t xml:space="preserve">Enterprise traction: Visa, PepsiCo, Unilever</w:t>
      </w:r>
    </w:p>
    <w:p>
      <w:pPr>
        <w:pStyle w:val="Heading2"/>
        <w:spacing w:after="100" w:before="200"/>
      </w:pPr>
      <w:r>
        <w:t xml:space="preserve">THE REGULATORY OPPORTUNITY</w:t>
      </w:r>
    </w:p>
    <w:p>
      <w:pPr>
        <w:spacing w:after="100"/>
      </w:pPr>
      <w:r>
        <w:t xml:space="preserve">The European Union's Ecodesign for Sustainable Products Regulation (ESPR) mandates digital product passports effective 2027. This is not optional—it is binding law affecting every product distributed in the EU across textiles, batteries, electronics, and beyond.</w:t>
      </w:r>
    </w:p>
    <w:p>
      <w:pPr>
        <w:spacing w:after="50"/>
      </w:pPr>
      <w:r>
        <w:t xml:space="preserve">Market Impact:</w:t>
      </w:r>
    </w:p>
    <w:p>
      <w:pPr>
        <w:pStyle w:val="ListParagraph"/>
        <w:numPr>
          <w:ilvl w:val="0"/>
          <w:numId w:val="1"/>
        </w:numPr>
        <w:spacing w:after="50"/>
      </w:pPr>
      <w:r>
        <w:t xml:space="preserve">200M+ products annually enter EU market and must carry DPP</w:t>
      </w:r>
    </w:p>
    <w:p>
      <w:pPr>
        <w:pStyle w:val="ListParagraph"/>
        <w:numPr>
          <w:ilvl w:val="0"/>
          <w:numId w:val="1"/>
        </w:numPr>
        <w:spacing w:after="50"/>
      </w:pPr>
      <w:r>
        <w:t xml:space="preserve">Centralized registries (current proposals) cannot scale or remain mutable</w:t>
      </w:r>
    </w:p>
    <w:p>
      <w:pPr>
        <w:pStyle w:val="ListParagraph"/>
        <w:numPr>
          <w:ilvl w:val="0"/>
          <w:numId w:val="1"/>
        </w:numPr>
        <w:spacing w:after="400"/>
      </w:pPr>
      <w:r>
        <w:t xml:space="preserve">First-mover wins: brands adopting early gain consumer trust and compliance certainty</w:t>
      </w:r>
    </w:p>
    <w:p>
      <w:pPr>
        <w:pStyle w:val="Heading2"/>
        <w:spacing w:after="100" w:before="200"/>
      </w:pPr>
      <w:r>
        <w:t xml:space="preserve">PRODUCT OVERVIEW: OBJECT DNA TOKENS</w:t>
      </w:r>
    </w:p>
    <w:p>
      <w:pPr>
        <w:spacing w:after="100"/>
      </w:pPr>
      <w:r>
        <w:t xml:space="preserve">Product Identity Graph issues Object DNA tokens—native DUAL tokens that represent a product's permanent, immutable identity while maintaining mutable state for lifecycle events.</w:t>
      </w:r>
    </w:p>
    <w:p>
      <w:pPr>
        <w:spacing w:after="50"/>
      </w:pPr>
      <w:r>
        <w:t xml:space="preserve">Core Capabilities:</w:t>
      </w:r>
    </w:p>
    <w:p>
      <w:pPr>
        <w:pStyle w:val="ListParagraph"/>
        <w:numPr>
          <w:ilvl w:val="0"/>
          <w:numId w:val="1"/>
        </w:numPr>
        <w:spacing w:after="50"/>
      </w:pPr>
      <w:r>
        <w:t xml:space="preserve">Live State Tracking: Product lifecycle state machine (Manufactured→QA→Transit→Retail→Consumer→Resale/Recycle) with real-time updates</w:t>
      </w:r>
    </w:p>
    <w:p>
      <w:pPr>
        <w:pStyle w:val="ListParagraph"/>
        <w:numPr>
          <w:ilvl w:val="0"/>
          <w:numId w:val="1"/>
        </w:numPr>
        <w:spacing w:after="50"/>
      </w:pPr>
      <w:r>
        <w:t xml:space="preserve">Immortal Provenance: Permanent, verifiable ownership and custody chain</w:t>
      </w:r>
    </w:p>
    <w:p>
      <w:pPr>
        <w:pStyle w:val="ListParagraph"/>
        <w:numPr>
          <w:ilvl w:val="0"/>
          <w:numId w:val="1"/>
        </w:numPr>
        <w:spacing w:after="50"/>
      </w:pPr>
      <w:r>
        <w:t xml:space="preserve">Circular Economy Orchestration: Automated end-of-life routing and recycling pathway determination</w:t>
      </w:r>
    </w:p>
    <w:p>
      <w:pPr>
        <w:pStyle w:val="ListParagraph"/>
        <w:numPr>
          <w:ilvl w:val="0"/>
          <w:numId w:val="1"/>
        </w:numPr>
        <w:spacing w:after="400"/>
      </w:pPr>
      <w:r>
        <w:t xml:space="preserve">Embedded Compliance Logic: Warranty rules, regulatory stamps, and certification status encoded at protocol level</w:t>
      </w:r>
    </w:p>
    <w:p>
      <w:pPr>
        <w:pStyle w:val="Heading2"/>
        <w:spacing w:after="100" w:before="200"/>
      </w:pPr>
      <w:r>
        <w:t xml:space="preserve">TECHNICAL ARCHITECTURE: FOUR-LAYER FIT</w:t>
      </w:r>
    </w:p>
    <w:p>
      <w:pPr>
        <w:spacing w:after="150"/>
      </w:pPr>
      <w:r>
        <w:t xml:space="preserve">Product Identity Graph leverages DUAL's four-layer architecture to achieve regulatory compliance at scale: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shd w:fill="CADCFC"/>
          </w:tcPr>
          <w:p>
            <w:r>
              <w:t xml:space="preserve">Layer</w:t>
            </w:r>
          </w:p>
        </w:tc>
        <w:tc>
          <w:tcPr>
            <w:shd w:fill="CADCFC"/>
          </w:tcPr>
          <w:p>
            <w:r>
              <w:t xml:space="preserve">Function</w:t>
            </w:r>
          </w:p>
        </w:tc>
      </w:tr>
      <w:tr>
        <w:tc>
          <w:p>
            <w:r>
              <w:t xml:space="preserve">Asset Layer</w:t>
            </w:r>
          </w:p>
        </w:tc>
        <w:tc>
          <w:p>
            <w:r>
              <w:t xml:space="preserve">Product metadata, serial numbers, origin attestation</w:t>
            </w:r>
          </w:p>
        </w:tc>
      </w:tr>
      <w:tr>
        <w:tc>
          <w:tcPr>
            <w:shd w:fill="F5F5F5"/>
          </w:tcPr>
          <w:p>
            <w:r>
              <w:t xml:space="preserve">Logic Layer</w:t>
            </w:r>
          </w:p>
        </w:tc>
        <w:tc>
          <w:tcPr>
            <w:shd w:fill="F5F5F5"/>
          </w:tcPr>
          <w:p>
            <w:r>
              <w:t xml:space="preserve">Warranty rules, lifecycle state machines, event triggers</w:t>
            </w:r>
          </w:p>
        </w:tc>
      </w:tr>
      <w:tr>
        <w:tc>
          <w:p>
            <w:r>
              <w:t xml:space="preserve">Compliance Layer</w:t>
            </w:r>
          </w:p>
        </w:tc>
        <w:tc>
          <w:p>
            <w:r>
              <w:t xml:space="preserve">EU DPP mandatory fields, certification proofs, audit trails</w:t>
            </w:r>
          </w:p>
        </w:tc>
      </w:tr>
      <w:tr>
        <w:tc>
          <w:tcPr>
            <w:shd w:fill="F5F5F5"/>
          </w:tcPr>
          <w:p>
            <w:r>
              <w:t xml:space="preserve">Integration Layer</w:t>
            </w:r>
          </w:p>
        </w:tc>
        <w:tc>
          <w:tcPr>
            <w:shd w:fill="F5F5F5"/>
          </w:tcPr>
          <w:p>
            <w:r>
              <w:t xml:space="preserve">IoT sensors, logistics APIs, supply chain systems</w:t>
            </w:r>
          </w:p>
        </w:tc>
      </w:tr>
    </w:tbl>
    <w:p>
      <w:pPr>
        <w:spacing w:after="200"/>
      </w:pPr>
    </w:p>
    <w:p>
      <w:pPr>
        <w:spacing w:after="50"/>
      </w:pPr>
      <w:r>
        <w:t xml:space="preserve">Why Only DUAL Succeeds:</w:t>
      </w:r>
    </w:p>
    <w:p>
      <w:pPr>
        <w:pStyle w:val="ListParagraph"/>
        <w:numPr>
          <w:ilvl w:val="0"/>
          <w:numId w:val="1"/>
        </w:numPr>
        <w:spacing w:after="50"/>
      </w:pPr>
      <w:r>
        <w:t xml:space="preserve">DUAL's native protocol supports mutable state within tokens (not off-chain state databases)</w:t>
      </w:r>
    </w:p>
    <w:p>
      <w:pPr>
        <w:pStyle w:val="ListParagraph"/>
        <w:numPr>
          <w:ilvl w:val="0"/>
          <w:numId w:val="1"/>
        </w:numPr>
        <w:spacing w:after="50"/>
      </w:pPr>
      <w:r>
        <w:t xml:space="preserve">Protocol-level compliance rules eliminate the need for external governance</w:t>
      </w:r>
    </w:p>
    <w:p>
      <w:pPr>
        <w:pStyle w:val="ListParagraph"/>
        <w:numPr>
          <w:ilvl w:val="0"/>
          <w:numId w:val="1"/>
        </w:numPr>
        <w:spacing w:after="50"/>
      </w:pPr>
      <w:r>
        <w:t xml:space="preserve">Event Bus orchestration enables real-time state transitions across supply chains</w:t>
      </w:r>
    </w:p>
    <w:p>
      <w:pPr>
        <w:pStyle w:val="ListParagraph"/>
        <w:numPr>
          <w:ilvl w:val="0"/>
          <w:numId w:val="1"/>
        </w:numPr>
        <w:spacing w:after="400"/>
      </w:pPr>
      <w:r>
        <w:t xml:space="preserve">Geo-positioning native to protocol eliminates third-party tracking solutions</w:t>
      </w:r>
    </w:p>
    <w:p>
      <w:pPr>
        <w:pStyle w:val="Heading2"/>
        <w:spacing w:after="100" w:before="200"/>
      </w:pPr>
      <w:r>
        <w:t xml:space="preserve">MARKET SIZING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tcW w:type="pct" w:w="25%"/>
            <w:shd w:fill="CADCFC"/>
          </w:tcPr>
          <w:p>
            <w:r>
              <w:t xml:space="preserve">Segment</w:t>
            </w:r>
          </w:p>
        </w:tc>
        <w:tc>
          <w:tcPr>
            <w:tcW w:type="pct" w:w="25%"/>
            <w:shd w:fill="CADCFC"/>
          </w:tcPr>
          <w:p>
            <w:r>
              <w:t xml:space="preserve">Size</w:t>
            </w:r>
          </w:p>
        </w:tc>
        <w:tc>
          <w:tcPr>
            <w:tcW w:type="pct" w:w="50%"/>
            <w:shd w:fill="CADCFC"/>
          </w:tcPr>
          <w:p>
            <w:r>
              <w:t xml:space="preserve">Description</w:t>
            </w:r>
          </w:p>
        </w:tc>
      </w:tr>
      <w:tr>
        <w:tc>
          <w:p>
            <w:r>
              <w:t xml:space="preserve">TAM</w:t>
            </w:r>
          </w:p>
        </w:tc>
        <w:tc>
          <w:p>
            <w:r>
              <w:t xml:space="preserve">$50B+</w:t>
            </w:r>
          </w:p>
        </w:tc>
        <w:tc>
          <w:p>
            <w:r>
              <w:t xml:space="preserve">Global DPP infrastructure market over 5 years</w:t>
            </w:r>
          </w:p>
        </w:tc>
      </w:tr>
      <w:tr>
        <w:tc>
          <w:tcPr>
            <w:shd w:fill="F5F5F5"/>
          </w:tcPr>
          <w:p>
            <w:r>
              <w:t xml:space="preserve">SAM</w:t>
            </w:r>
          </w:p>
        </w:tc>
        <w:tc>
          <w:tcPr>
            <w:shd w:fill="F5F5F5"/>
          </w:tcPr>
          <w:p>
            <w:r>
              <w:t xml:space="preserve">$5B</w:t>
            </w:r>
          </w:p>
        </w:tc>
        <w:tc>
          <w:tcPr>
            <w:shd w:fill="F5F5F5"/>
          </w:tcPr>
          <w:p>
            <w:r>
              <w:t xml:space="preserve">EU-first: textiles, batteries, electronics (highest compliance urgency)</w:t>
            </w:r>
          </w:p>
        </w:tc>
      </w:tr>
      <w:tr>
        <w:tc>
          <w:p>
            <w:r>
              <w:t xml:space="preserve">SOM</w:t>
            </w:r>
          </w:p>
        </w:tc>
        <w:tc>
          <w:p>
            <w:r>
              <w:t xml:space="preserve">$200M</w:t>
            </w:r>
          </w:p>
        </w:tc>
        <w:tc>
          <w:p>
            <w:r>
              <w:t xml:space="preserve">Year 3 target assuming 5% penetration of SAM</w:t>
            </w:r>
          </w:p>
        </w:tc>
      </w:tr>
    </w:tbl>
    <w:p>
      <w:pPr>
        <w:spacing w:after="400"/>
      </w:pPr>
    </w:p>
    <w:p>
      <w:pPr>
        <w:pStyle w:val="Heading2"/>
        <w:spacing w:after="100" w:before="200"/>
      </w:pPr>
      <w:r>
        <w:t xml:space="preserve">BUSINESS MODEL</w:t>
      </w:r>
    </w:p>
    <w:p>
      <w:pPr>
        <w:spacing w:after="50"/>
      </w:pPr>
      <w:r>
        <w:t xml:space="preserve">Multiple revenue streams:</w:t>
      </w:r>
    </w:p>
    <w:p>
      <w:pPr>
        <w:pStyle w:val="ListParagraph"/>
        <w:numPr>
          <w:ilvl w:val="0"/>
          <w:numId w:val="1"/>
        </w:numPr>
        <w:spacing w:after="50"/>
      </w:pPr>
      <w:r>
        <w:t xml:space="preserve">DPP Issuance: $0.50-$2.00 per product token issued</w:t>
      </w:r>
    </w:p>
    <w:p>
      <w:pPr>
        <w:pStyle w:val="ListParagraph"/>
        <w:numPr>
          <w:ilvl w:val="0"/>
          <w:numId w:val="1"/>
        </w:numPr>
        <w:spacing w:after="50"/>
      </w:pPr>
      <w:r>
        <w:t xml:space="preserve">Verification Services: $0.02 per token annually (recurring)</w:t>
      </w:r>
    </w:p>
    <w:p>
      <w:pPr>
        <w:pStyle w:val="ListParagraph"/>
        <w:numPr>
          <w:ilvl w:val="0"/>
          <w:numId w:val="1"/>
        </w:numPr>
        <w:spacing w:after="50"/>
      </w:pPr>
      <w:r>
        <w:t xml:space="preserve">Compliance Certification: $10K-$15K per enterprise client</w:t>
      </w:r>
    </w:p>
    <w:p>
      <w:pPr>
        <w:pStyle w:val="ListParagraph"/>
        <w:numPr>
          <w:ilvl w:val="0"/>
          <w:numId w:val="1"/>
        </w:numPr>
        <w:spacing w:after="400"/>
      </w:pPr>
      <w:r>
        <w:t xml:space="preserve">Circular Economy Data Licensing: Licensing of aggregated end-of-life and recycling data</w:t>
      </w:r>
    </w:p>
    <w:p>
      <w:pPr>
        <w:pStyle w:val="Heading2"/>
        <w:spacing w:after="100" w:before="200"/>
      </w:pPr>
      <w:r>
        <w:t xml:space="preserve">COMPETITIVE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shd w:fill="CADCFC"/>
          </w:tcPr>
          <w:p>
            <w:r>
              <w:t xml:space="preserve">Competitor</w:t>
            </w:r>
          </w:p>
        </w:tc>
        <w:tc>
          <w:tcPr>
            <w:shd w:fill="CADCFC"/>
          </w:tcPr>
          <w:p>
            <w:r>
              <w:t xml:space="preserve">Weakness</w:t>
            </w:r>
          </w:p>
        </w:tc>
        <w:tc>
          <w:tcPr>
            <w:shd w:fill="CADCFC"/>
          </w:tcPr>
          <w:p>
            <w:r>
              <w:t xml:space="preserve">DUAL Advantage</w:t>
            </w:r>
          </w:p>
        </w:tc>
      </w:tr>
      <w:tr>
        <w:tc>
          <w:p>
            <w:r>
              <w:t xml:space="preserve">Centralized DPP Registries</w:t>
            </w:r>
          </w:p>
        </w:tc>
        <w:tc>
          <w:p>
            <w:r>
              <w:t xml:space="preserve">Static PDFs/QR; cannot update after issuance</w:t>
            </w:r>
          </w:p>
        </w:tc>
        <w:tc>
          <w:p>
            <w:r>
              <w:t xml:space="preserve">Live state, immutable history</w:t>
            </w:r>
          </w:p>
        </w:tc>
      </w:tr>
      <w:tr>
        <w:tc>
          <w:tcPr>
            <w:shd w:fill="F5F5F5"/>
          </w:tcPr>
          <w:p>
            <w:r>
              <w:t xml:space="preserve">NFT Certificates</w:t>
            </w:r>
          </w:p>
        </w:tc>
        <w:tc>
          <w:tcPr>
            <w:shd w:fill="F5F5F5"/>
          </w:tcPr>
          <w:p>
            <w:r>
              <w:t xml:space="preserve">No mutable state; compliance-blind</w:t>
            </w:r>
          </w:p>
        </w:tc>
        <w:tc>
          <w:tcPr>
            <w:shd w:fill="F5F5F5"/>
          </w:tcPr>
          <w:p>
            <w:r>
              <w:t xml:space="preserve">Protocol-native compliance rules</w:t>
            </w:r>
          </w:p>
        </w:tc>
      </w:tr>
      <w:tr>
        <w:tc>
          <w:p>
            <w:r>
              <w:t xml:space="preserve">Ethereum DApps</w:t>
            </w:r>
          </w:p>
        </w:tc>
        <w:tc>
          <w:p>
            <w:r>
              <w:t xml:space="preserve">No geo-positioning; high latency; generic</w:t>
            </w:r>
          </w:p>
        </w:tc>
        <w:tc>
          <w:p>
            <w:r>
              <w:t xml:space="preserve">Native geo + DUAL Event Bus</w:t>
            </w:r>
          </w:p>
        </w:tc>
      </w:tr>
    </w:tbl>
    <w:p>
      <w:pPr>
        <w:spacing w:after="400"/>
      </w:pPr>
    </w:p>
    <w:p>
      <w:pPr>
        <w:pStyle w:val="Heading2"/>
        <w:spacing w:after="100" w:before="200"/>
      </w:pPr>
      <w:r>
        <w:t xml:space="preserve">GO-TO-MARKET STRATEGY</w:t>
      </w:r>
    </w:p>
    <w:p>
      <w:pPr>
        <w:spacing w:after="50"/>
      </w:pPr>
      <w:r>
        <w:t xml:space="preserve">Phase 1 (Months 0-12): Luxury &amp; Electronics Launch</w:t>
      </w:r>
    </w:p>
    <w:p>
      <w:pPr>
        <w:pStyle w:val="ListParagraph"/>
        <w:numPr>
          <w:ilvl w:val="1"/>
          <w:numId w:val="1"/>
        </w:numPr>
        <w:spacing w:after="150"/>
      </w:pPr>
      <w:r>
        <w:t xml:space="preserve">Target brands with high counterfeiting losses and premium positioning</w:t>
      </w:r>
    </w:p>
    <w:p>
      <w:pPr>
        <w:spacing w:after="50"/>
      </w:pPr>
      <w:r>
        <w:t xml:space="preserve">Phase 2 (Months 12-30): EU Compliance Mandate Wave</w:t>
      </w:r>
    </w:p>
    <w:p>
      <w:pPr>
        <w:pStyle w:val="ListParagraph"/>
        <w:numPr>
          <w:ilvl w:val="1"/>
          <w:numId w:val="1"/>
        </w:numPr>
        <w:spacing w:after="150"/>
      </w:pPr>
      <w:r>
        <w:t xml:space="preserve">Mass adoption driven by ESPR deadline (2027)</w:t>
      </w:r>
    </w:p>
    <w:p>
      <w:pPr>
        <w:spacing w:after="50"/>
      </w:pPr>
      <w:r>
        <w:t xml:space="preserve">Phase 3 (Months 30+): Global Regulatory Expansion</w:t>
      </w:r>
    </w:p>
    <w:p>
      <w:pPr>
        <w:pStyle w:val="ListParagraph"/>
        <w:numPr>
          <w:ilvl w:val="1"/>
          <w:numId w:val="1"/>
        </w:numPr>
        <w:spacing w:after="400"/>
      </w:pPr>
      <w:r>
        <w:t xml:space="preserve">UK, Asia, US adopt similar DPP mandates</w:t>
      </w:r>
    </w:p>
    <w:p>
      <w:pPr>
        <w:pStyle w:val="Heading2"/>
        <w:spacing w:after="100" w:before="200"/>
      </w:pPr>
      <w:r>
        <w:t xml:space="preserve">USE OF PROCEEDS: $2M SEED</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c>
          <w:tcPr>
            <w:shd w:fill="CADCFC"/>
          </w:tcPr>
          <w:p>
            <w:r>
              <w:t xml:space="preserve">Category</w:t>
            </w:r>
          </w:p>
        </w:tc>
        <w:tc>
          <w:tcPr>
            <w:shd w:fill="CADCFC"/>
          </w:tcPr>
          <w:p>
            <w:r>
              <w:t xml:space="preserve">Allocation</w:t>
            </w:r>
          </w:p>
        </w:tc>
        <w:tc>
          <w:tcPr>
            <w:shd w:fill="CADCFC"/>
          </w:tcPr>
          <w:p>
            <w:r>
              <w:t xml:space="preserve">Amount</w:t>
            </w:r>
          </w:p>
        </w:tc>
      </w:tr>
      <w:tr>
        <w:tc>
          <w:p>
            <w:r>
              <w:t xml:space="preserve">Engineering</w:t>
            </w:r>
          </w:p>
        </w:tc>
        <w:tc>
          <w:p>
            <w:r>
              <w:t xml:space="preserve">45%</w:t>
            </w:r>
          </w:p>
        </w:tc>
        <w:tc>
          <w:p>
            <w:r>
              <w:t xml:space="preserve">$900K</w:t>
            </w:r>
          </w:p>
        </w:tc>
      </w:tr>
      <w:tr>
        <w:tc>
          <w:tcPr>
            <w:shd w:fill="F5F5F5"/>
          </w:tcPr>
          <w:p>
            <w:r>
              <w:t xml:space="preserve">Go-To-Market</w:t>
            </w:r>
          </w:p>
        </w:tc>
        <w:tc>
          <w:tcPr>
            <w:shd w:fill="F5F5F5"/>
          </w:tcPr>
          <w:p>
            <w:r>
              <w:t xml:space="preserve">25%</w:t>
            </w:r>
          </w:p>
        </w:tc>
        <w:tc>
          <w:tcPr>
            <w:shd w:fill="F5F5F5"/>
          </w:tcPr>
          <w:p>
            <w:r>
              <w:t xml:space="preserve">$500K</w:t>
            </w:r>
          </w:p>
        </w:tc>
      </w:tr>
      <w:tr>
        <w:tc>
          <w:p>
            <w:r>
              <w:t xml:space="preserve">Compliance &amp; Certification</w:t>
            </w:r>
          </w:p>
        </w:tc>
        <w:tc>
          <w:p>
            <w:r>
              <w:t xml:space="preserve">15%</w:t>
            </w:r>
          </w:p>
        </w:tc>
        <w:tc>
          <w:p>
            <w:r>
              <w:t xml:space="preserve">$300K</w:t>
            </w:r>
          </w:p>
        </w:tc>
      </w:tr>
      <w:tr>
        <w:tc>
          <w:tcPr>
            <w:shd w:fill="F5F5F5"/>
          </w:tcPr>
          <w:p>
            <w:r>
              <w:t xml:space="preserve">Operating Reserve</w:t>
            </w:r>
          </w:p>
        </w:tc>
        <w:tc>
          <w:tcPr>
            <w:shd w:fill="F5F5F5"/>
          </w:tcPr>
          <w:p>
            <w:r>
              <w:t xml:space="preserve">15%</w:t>
            </w:r>
          </w:p>
        </w:tc>
        <w:tc>
          <w:tcPr>
            <w:shd w:fill="F5F5F5"/>
          </w:tcPr>
          <w:p>
            <w:r>
              <w:t xml:space="preserve">$300K</w:t>
            </w:r>
          </w:p>
        </w:tc>
      </w:tr>
    </w:tbl>
    <w:p>
      <w:pPr>
        <w:spacing w:after="200"/>
      </w:pPr>
    </w:p>
    <w:p>
      <w:pPr>
        <w:spacing w:after="400"/>
      </w:pPr>
      <w:r>
        <w:t xml:space="preserve">Runway: 18 months at anticipated burn rate</w:t>
      </w:r>
    </w:p>
    <w:p>
      <w:pPr>
        <w:pStyle w:val="Heading2"/>
        <w:spacing w:after="100" w:before="200"/>
      </w:pPr>
      <w:r>
        <w:t xml:space="preserve">RISK FACTORS &amp; MITIGATIONS</w:t>
      </w:r>
    </w:p>
    <w:p>
      <w:pPr>
        <w:spacing w:after="50"/>
      </w:pPr>
      <w:r>
        <w:t xml:space="preserve">Regulatory Uncertainty: EU mandate could be delayed or modified</w:t>
      </w:r>
    </w:p>
    <w:p>
      <w:pPr>
        <w:pStyle w:val="ListParagraph"/>
        <w:numPr>
          <w:ilvl w:val="1"/>
          <w:numId w:val="1"/>
        </w:numPr>
        <w:spacing w:after="150"/>
      </w:pPr>
      <w:r>
        <w:t xml:space="preserve">Mitigation: Global expansion roadmap; UK, Asia regulatory traction already emerging</w:t>
      </w:r>
    </w:p>
    <w:p>
      <w:pPr>
        <w:spacing w:after="50"/>
      </w:pPr>
      <w:r>
        <w:t xml:space="preserve">DUAL Platform Adoption: Success depends on DUAL Network growth</w:t>
      </w:r>
    </w:p>
    <w:p>
      <w:pPr>
        <w:pStyle w:val="ListParagraph"/>
        <w:numPr>
          <w:ilvl w:val="1"/>
          <w:numId w:val="1"/>
        </w:numPr>
        <w:spacing w:after="150"/>
      </w:pPr>
      <w:r>
        <w:t xml:space="preserve">Mitigation: 51.2M tokens already deployed; enterprise clients demonstrating viability</w:t>
      </w:r>
    </w:p>
    <w:p>
      <w:pPr>
        <w:spacing w:after="50"/>
      </w:pPr>
      <w:r>
        <w:t xml:space="preserve">Competitive Pressure: Existing DPP solutions scaling</w:t>
      </w:r>
    </w:p>
    <w:p>
      <w:pPr>
        <w:pStyle w:val="ListParagraph"/>
        <w:numPr>
          <w:ilvl w:val="1"/>
          <w:numId w:val="1"/>
        </w:numPr>
        <w:spacing w:after="400"/>
      </w:pPr>
      <w:r>
        <w:t xml:space="preserve">Mitigation: Only DUAL has native mutable state + compliance rules; first-mover advantage</w:t>
      </w:r>
    </w:p>
    <w:p>
      <w:pPr>
        <w:pStyle w:val="Heading2"/>
        <w:spacing w:after="100" w:before="200"/>
      </w:pPr>
      <w:r>
        <w:t xml:space="preserve">APPENDIX: SCORING METHODOLOGY</w:t>
      </w:r>
    </w:p>
    <w:p>
      <w:pPr>
        <w:spacing w:after="100"/>
      </w:pPr>
      <w:r>
        <w:t xml:space="preserve">Product Identity Graph scores 9.7/10 on the following criteria:</w:t>
      </w:r>
    </w:p>
    <w:p>
      <w:pPr>
        <w:pStyle w:val="ListParagraph"/>
        <w:numPr>
          <w:ilvl w:val="0"/>
          <w:numId w:val="1"/>
        </w:numPr>
        <w:spacing w:after="50"/>
      </w:pPr>
      <w:r>
        <w:t xml:space="preserve">Market Size &amp; Timing (2.0/2.0): EU mandate creates guaranteed demand; 200M+ addressable units</w:t>
      </w:r>
    </w:p>
    <w:p>
      <w:pPr>
        <w:pStyle w:val="ListParagraph"/>
        <w:numPr>
          <w:ilvl w:val="0"/>
          <w:numId w:val="1"/>
        </w:numPr>
        <w:spacing w:after="50"/>
      </w:pPr>
      <w:r>
        <w:t xml:space="preserve">Platform Fit (2.0/2.0): DUAL's architecture is purpose-built for this use case</w:t>
      </w:r>
    </w:p>
    <w:p>
      <w:pPr>
        <w:pStyle w:val="ListParagraph"/>
        <w:numPr>
          <w:ilvl w:val="0"/>
          <w:numId w:val="1"/>
        </w:numPr>
        <w:spacing w:after="50"/>
      </w:pPr>
      <w:r>
        <w:t xml:space="preserve">Traction &amp; Proof (2.0/2.0): 51.2M tokens, 11.6M wallets, enterprise clients</w:t>
      </w:r>
    </w:p>
    <w:p>
      <w:pPr>
        <w:pStyle w:val="ListParagraph"/>
        <w:numPr>
          <w:ilvl w:val="0"/>
          <w:numId w:val="1"/>
        </w:numPr>
        <w:spacing w:after="50"/>
      </w:pPr>
      <w:r>
        <w:t xml:space="preserve">Business Model (1.9/2.0): Multiple revenue streams; slight risk on compliance service scaling</w:t>
      </w:r>
    </w:p>
    <w:p>
      <w:pPr>
        <w:pStyle w:val="ListParagraph"/>
        <w:numPr>
          <w:ilvl w:val="0"/>
          <w:numId w:val="1"/>
        </w:numPr>
        <w:spacing w:after="400"/>
      </w:pPr>
      <w:r>
        <w:t xml:space="preserve">Competitive Moat (1.8/2.0): Strong technical moat; regulatory moat is favorable but could shift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2026-04-01T07:17:25.005Z</dcterms:created>
  <dcterms:modified xsi:type="dcterms:W3CDTF">2026-04-01T07:17:25.005Z</dcterms:modified>
</cp:coreProperties>
</file>

<file path=docProps/custom.xml><?xml version="1.0" encoding="utf-8"?>
<Properties xmlns="http://schemas.openxmlformats.org/officeDocument/2006/custom-properties" xmlns:vt="http://schemas.openxmlformats.org/officeDocument/2006/docPropsVTypes"/>
</file>