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2"/>
          <w:szCs w:val="32"/>
        </w:rPr>
        <w:t xml:space="preserve">INVESTMENT MEMORANDUM</w:t>
      </w:r>
    </w:p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RealYield™ — DUAL Network</w:t>
      </w:r>
    </w:p>
    <w:p>
      <w:pPr>
        <w:spacing w:after="200"/>
        <w:jc w:val="center"/>
      </w:pPr>
      <w:r>
        <w:rPr>
          <w:sz w:val="22"/>
          <w:szCs w:val="22"/>
        </w:rPr>
        <w:t xml:space="preserve">Sponsor-Managed Private Real Estate Income Rights</w:t>
      </w:r>
    </w:p>
    <w:p>
      <w:pPr>
        <w:spacing w:after="240"/>
        <w:jc w:val="center"/>
      </w:pPr>
      <w:r>
        <w:rPr>
          <w:b/>
          <w:bCs/>
          <w:sz w:val="20"/>
          <w:szCs w:val="20"/>
        </w:rPr>
        <w:t xml:space="preserve">CONFIDENTIAL — FOR QUALIFIED INVESTORS ONLY</w:t>
      </w:r>
    </w:p>
    <w:p>
      <w:pPr>
        <w:pStyle w:val="Heading1"/>
      </w:pPr>
      <w:r>
        <w:t xml:space="preserve">Executive Summary</w:t>
      </w:r>
    </w:p>
    <w:p>
      <w:r>
        <w:t xml:space="preserve">RealYield™ tokenizes real estate income rights on blockchain, enabling transparent dividend distribution and sub-second settlement. We are raising $500K in pre-seed funding to launch our MVP: a single California multi-family property (5 units) with quarterly yield distributions (7–9% annualized) managed by approved sponsors.</w:t>
      </w:r>
    </w:p>
    <w:p>
      <w:pPr>
        <w:spacing w:after="120"/>
      </w:pPr>
      <w:r>
        <w:t xml:space="preserve"/>
      </w:r>
    </w:p>
    <w:p>
      <w:r>
        <w:t xml:space="preserve">Our target buyers are institutional platforms (Fundrise, Harbor, Yieldstreet) seeking tokenized real estate exposure. We generate revenue via 0.25–0.5% AUM fees and 50–100 bps trading spreads. Total addressable market: $1.5T by 2030.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The Problem</w:t>
      </w:r>
    </w:p>
    <w:p>
      <w:pPr>
        <w:pStyle w:val="ListParagraph"/>
        <w:numPr>
          <w:ilvl w:val="0"/>
          <w:numId w:val="2"/>
        </w:numPr>
      </w:pPr>
      <w:r>
        <w:t xml:space="preserve">Illiquidity: Real estate investors' wealth is locked in properties for years</w:t>
      </w:r>
    </w:p>
    <w:p>
      <w:pPr>
        <w:pStyle w:val="ListParagraph"/>
        <w:numPr>
          <w:ilvl w:val="0"/>
          <w:numId w:val="2"/>
        </w:numPr>
      </w:pPr>
      <w:r>
        <w:t xml:space="preserve">Centralized Custody: Opaque NAV, T+2/T+3 redemptions</w:t>
      </w:r>
    </w:p>
    <w:p>
      <w:pPr>
        <w:pStyle w:val="ListParagraph"/>
        <w:numPr>
          <w:ilvl w:val="0"/>
          <w:numId w:val="2"/>
        </w:numPr>
      </w:pPr>
      <w:r>
        <w:t xml:space="preserve">Fragmented Data: Multiple spreadsheets and manual reconciliation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Limited Access: Family office minimums ($500K–$5M)</w:t>
      </w:r>
    </w:p>
    <w:p>
      <w:pPr>
        <w:pStyle w:val="Heading1"/>
      </w:pPr>
      <w:r>
        <w:t xml:space="preserve">The Solution</w:t>
      </w:r>
    </w:p>
    <w:p>
      <w:r>
        <w:t xml:space="preserve">RealYield addresses these through blockchain tokenization:</w:t>
      </w:r>
    </w:p>
    <w:p>
      <w:pPr>
        <w:pStyle w:val="ListParagraph"/>
        <w:numPr>
          <w:ilvl w:val="0"/>
          <w:numId w:val="2"/>
        </w:numPr>
      </w:pPr>
      <w:r>
        <w:t xml:space="preserve">ERC-20 Yield Tokens: Dividend-bearing tokens representing real estate income rights</w:t>
      </w:r>
    </w:p>
    <w:p>
      <w:pPr>
        <w:pStyle w:val="ListParagraph"/>
        <w:numPr>
          <w:ilvl w:val="0"/>
          <w:numId w:val="2"/>
        </w:numPr>
      </w:pPr>
      <w:r>
        <w:t xml:space="preserve">Transparent NAV Updates: Quarterly resets published on-chain</w:t>
      </w:r>
    </w:p>
    <w:p>
      <w:pPr>
        <w:pStyle w:val="ListParagraph"/>
        <w:numPr>
          <w:ilvl w:val="0"/>
          <w:numId w:val="2"/>
        </w:numPr>
      </w:pPr>
      <w:r>
        <w:t xml:space="preserve">Sub-Second Settlement: Redemptions settle within one block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State Machine: Ready→Occupied→Maintenance→Liquidation</w:t>
      </w:r>
    </w:p>
    <w:p>
      <w:pPr>
        <w:pStyle w:val="Heading1"/>
      </w:pPr>
      <w:r>
        <w:t xml:space="preserve">MVP: Year 1</w:t>
      </w:r>
    </w:p>
    <w:p>
      <w:pPr>
        <w:pStyle w:val="ListParagraph"/>
        <w:numPr>
          <w:ilvl w:val="0"/>
          <w:numId w:val="2"/>
        </w:numPr>
      </w:pPr>
      <w:r>
        <w:t xml:space="preserve">Property: 5-unit residential multi-family in California</w:t>
      </w:r>
    </w:p>
    <w:p>
      <w:pPr>
        <w:pStyle w:val="ListParagraph"/>
        <w:numPr>
          <w:ilvl w:val="0"/>
          <w:numId w:val="2"/>
        </w:numPr>
      </w:pPr>
      <w:r>
        <w:t xml:space="preserve">Yield: 7–9% annualized, paid quarterly</w:t>
      </w:r>
    </w:p>
    <w:p>
      <w:pPr>
        <w:pStyle w:val="ListParagraph"/>
        <w:numPr>
          <w:ilvl w:val="0"/>
          <w:numId w:val="2"/>
        </w:numPr>
      </w:pPr>
      <w:r>
        <w:t xml:space="preserve">NAV Reset: Every 90 days by approved administrator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Settlement: Sub-second on-chain</w:t>
      </w:r>
    </w:p>
    <w:p>
      <w:pPr>
        <w:pStyle w:val="Heading1"/>
      </w:pPr>
      <w:r>
        <w:t xml:space="preserve">Market Opportunity</w:t>
      </w:r>
    </w:p>
    <w:p>
      <w:r>
        <w:t xml:space="preserve">Real estate tokenization projected at $1.5T by 2030 (25% CAGR). US multi-family market: $3.2T AUM. SAM: 0.5–2% tokenization = $16–64B.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Revenue Model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AUM Fee: </w:t>
      </w:r>
      <w:r>
        <w:t xml:space="preserve">0.25–0.5% annually. $500M AUM → $1.25–2.5M/yr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Trading Spread: </w:t>
      </w:r>
      <w:r>
        <w:t xml:space="preserve">50–100 bps per redemption. $10M TVL × 2 trades/yr = ~$150K/yr</w:t>
      </w:r>
    </w:p>
    <w:p>
      <w:pPr>
        <w:pStyle w:val="Heading1"/>
      </w:pPr>
      <w:r>
        <w:t xml:space="preserve">Use of $500K Pre-Seed</w:t>
      </w:r>
    </w:p>
    <w:p>
      <w:pPr>
        <w:pStyle w:val="ListParagraph"/>
        <w:numPr>
          <w:ilvl w:val="0"/>
          <w:numId w:val="2"/>
        </w:numPr>
      </w:pPr>
      <w:r>
        <w:t xml:space="preserve">Smart Contracts &amp; Infrastructure: $200K (40%)</w:t>
      </w:r>
    </w:p>
    <w:p>
      <w:pPr>
        <w:pStyle w:val="ListParagraph"/>
        <w:numPr>
          <w:ilvl w:val="0"/>
          <w:numId w:val="2"/>
        </w:numPr>
      </w:pPr>
      <w:r>
        <w:t xml:space="preserve">Regulatory &amp; Legal: $100K (20%)</w:t>
      </w:r>
    </w:p>
    <w:p>
      <w:pPr>
        <w:pStyle w:val="ListParagraph"/>
        <w:numPr>
          <w:ilvl w:val="0"/>
          <w:numId w:val="2"/>
        </w:numPr>
      </w:pPr>
      <w:r>
        <w:t xml:space="preserve">Team &amp; Operations: $125K (25%)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Marketing &amp; Partnerships: $75K (15%)</w:t>
      </w:r>
    </w:p>
    <w:p>
      <w:pPr>
        <w:pStyle w:val="Heading1"/>
      </w:pPr>
      <w:r>
        <w:t xml:space="preserve">Financial Projections</w:t>
      </w:r>
    </w:p>
    <w:p>
      <w:r>
        <w:t xml:space="preserve">Year 1: $10M AUM, $50K revenue | Year 5: $5B AUM, $20M revenue | 40–50% YoY growth trajectory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Risk Mitigation</w:t>
      </w:r>
    </w:p>
    <w:p>
      <w:pPr>
        <w:pStyle w:val="ListParagraph"/>
        <w:numPr>
          <w:ilvl w:val="0"/>
          <w:numId w:val="2"/>
        </w:numPr>
      </w:pPr>
      <w:r>
        <w:t xml:space="preserve">Regulatory: Pre-register FinCEN; Reg A+ pathway</w:t>
      </w:r>
    </w:p>
    <w:p>
      <w:pPr>
        <w:pStyle w:val="ListParagraph"/>
        <w:numPr>
          <w:ilvl w:val="0"/>
          <w:numId w:val="2"/>
        </w:numPr>
      </w:pPr>
      <w:r>
        <w:t xml:space="preserve">Real Estate: Sponsor insurance; 10% reserve fund</w:t>
      </w:r>
    </w:p>
    <w:p>
      <w:pPr>
        <w:pStyle w:val="ListParagraph"/>
        <w:numPr>
          <w:ilvl w:val="0"/>
          <w:numId w:val="2"/>
        </w:numPr>
      </w:pPr>
      <w:r>
        <w:t xml:space="preserve">Liquidity: Staked incentives; DEX partnerships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Smart Contract: Trail of Bits audit; protocol insurance</w:t>
      </w:r>
    </w:p>
    <w:p>
      <w:pPr>
        <w:pStyle w:val="Heading1"/>
      </w:pPr>
      <w:r>
        <w:t xml:space="preserve">Conclusion</w:t>
      </w:r>
    </w:p>
    <w:p>
      <w:r>
        <w:t xml:space="preserve">RealYield™ addresses a $1.5T opportunity. With $500K pre-seed, we launch with institutional partners and generate recurring revenue. Join us in tokenizing real estate.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2026-04-01T09:49:49.588Z</dcterms:created>
  <dcterms:modified xsi:type="dcterms:W3CDTF">2026-04-01T09:49:49.588Z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