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INVESTMENT MEMO</w:t>
      </w:r>
    </w:p>
    <w:p>
      <w:pPr>
        <w:spacing w:after="80"/>
        <w:jc w:val="center"/>
      </w:pPr>
      <w:r>
        <w:rPr>
          <w:b/>
          <w:bCs/>
          <w:sz w:val="24"/>
          <w:szCs w:val="24"/>
        </w:rPr>
        <w:t xml:space="preserve">ShipShare™ — Voyage Revenue Accounting &amp; Payable-Claims Orchestration</w:t>
      </w:r>
    </w:p>
    <w:p>
      <w:pPr>
        <w:spacing w:after="240"/>
        <w:jc w:val="center"/>
      </w:pPr>
      <w:r>
        <w:rPr>
          <w:sz w:val="20"/>
          <w:szCs w:val="20"/>
        </w:rPr>
        <w:t xml:space="preserve">DUAL Network Pre-Seed Funding Round</w:t>
      </w:r>
    </w:p>
    <w:p>
      <w:pPr>
        <w:pStyle w:val="Heading1"/>
      </w:pPr>
      <w:r>
        <w:t xml:space="preserve">Executive Summary</w:t>
      </w:r>
    </w:p>
    <w:p>
      <w:r>
        <w:t xml:space="preserve">ShipShare™ provides immutable, event-driven revenue accounting for maritime fleet operators. By tokenizing voyage revenue splits (freight, bunker, port fees, crew payroll) and orchestrating cascading payouts via an Event Bus, ShipShare transforms manual, error-prone processes into transparent, auditable settlements that satisfy ship-finance lenders and flag-state regulators.</w:t>
      </w:r>
    </w:p>
    <w:p>
      <w:r>
        <w:t xml:space="preserve">We seek $500K pre-seed to build the core platform MVP for one tier-1 maritime operator (15+ vessels), achieving $300K ARR by end of Year 1, and scaling to $35M ARR across 20+ operators by Year 5.</w:t>
      </w:r>
    </w:p>
    <w:p>
      <w:pPr>
        <w:spacing w:after="120"/>
      </w:pPr>
      <w:r>
        <w:t xml:space="preserve"/>
      </w:r>
    </w:p>
    <w:p>
      <w:pPr>
        <w:pStyle w:val="Heading1"/>
      </w:pPr>
      <w:r>
        <w:t xml:space="preserve">The Problem</w:t>
      </w:r>
    </w:p>
    <w:p>
      <w:r>
        <w:t xml:space="preserve">Maritime finance operates on manual voyage accounting:</w:t>
      </w:r>
    </w:p>
    <w:p>
      <w:pPr>
        <w:pStyle w:val="ListParagraph"/>
        <w:numPr>
          <w:ilvl w:val="0"/>
          <w:numId w:val="2"/>
        </w:numPr>
      </w:pPr>
      <w:r>
        <w:t xml:space="preserve">Freight earnings, bunker costs, port fees exist in fragmented systems (Google Sheets, email chains, SMS)</w:t>
      </w:r>
    </w:p>
    <w:p>
      <w:pPr>
        <w:pStyle w:val="ListParagraph"/>
        <w:numPr>
          <w:ilvl w:val="0"/>
          <w:numId w:val="2"/>
        </w:numPr>
      </w:pPr>
      <w:r>
        <w:t xml:space="preserve">Crew payroll mismatches; lenders lack confidence in settlement accuracy</w:t>
      </w:r>
    </w:p>
    <w:p>
      <w:pPr>
        <w:pStyle w:val="ListParagraph"/>
        <w:numPr>
          <w:ilvl w:val="0"/>
          <w:numId w:val="2"/>
        </w:numPr>
      </w:pPr>
      <w:r>
        <w:t xml:space="preserve">Ship-finance banks mandate immutable settlement logs for asset-backed lending; compliance is ad hoc</w:t>
      </w:r>
    </w:p>
    <w:p>
      <w:pPr>
        <w:pStyle w:val="ListParagraph"/>
        <w:numPr>
          <w:ilvl w:val="0"/>
          <w:numId w:val="2"/>
        </w:numPr>
      </w:pPr>
      <w:r>
        <w:t xml:space="preserve">Payable claims (bunker providers, port agents, ship insurers) settle days or weeks after voyage completion</w:t>
      </w:r>
    </w:p>
    <w:p>
      <w:pPr>
        <w:pStyle w:val="ListParagraph"/>
        <w:numPr>
          <w:ilvl w:val="0"/>
          <w:numId w:val="2"/>
        </w:numPr>
      </w:pPr>
      <w:r>
        <w:t xml:space="preserve">Flag states increasingly audit voyage financials; operators scramble to compile records</w:t>
      </w:r>
    </w:p>
    <w:p>
      <w:pPr>
        <w:spacing w:after="80"/>
      </w:pPr>
      <w:r>
        <w:t xml:space="preserve"/>
      </w:r>
    </w:p>
    <w:p>
      <w:r>
        <w:t xml:space="preserve">Total Addressable Market: Maritime finance ($500B) operates on incomplete data. Voyage accounting alone ($5B market) remains largely undigitized.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The Solution</w:t>
      </w:r>
    </w:p>
    <w:p>
      <w:r>
        <w:t xml:space="preserve">ShipShare introduces tokenized voyage revenue orchestration:</w:t>
      </w:r>
    </w:p>
    <w:p>
      <w:pPr>
        <w:pStyle w:val="ListParagraph"/>
        <w:numPr>
          <w:ilvl w:val="0"/>
          <w:numId w:val="2"/>
        </w:numPr>
      </w:pPr>
      <w:r>
        <w:t xml:space="preserve">Immutable Ledger: Every voyage transaction recorded on Event Bus; settlements cryptographically signed</w:t>
      </w:r>
    </w:p>
    <w:p>
      <w:pPr>
        <w:pStyle w:val="ListParagraph"/>
        <w:numPr>
          <w:ilvl w:val="0"/>
          <w:numId w:val="2"/>
        </w:numPr>
      </w:pPr>
      <w:r>
        <w:t xml:space="preserve">Revenue State Machine: Voyage_Planned → Underway → Completed → Revenue_Recognized → Settled</w:t>
      </w:r>
    </w:p>
    <w:p>
      <w:pPr>
        <w:pStyle w:val="ListParagraph"/>
        <w:numPr>
          <w:ilvl w:val="0"/>
          <w:numId w:val="2"/>
        </w:numPr>
      </w:pPr>
      <w:r>
        <w:t xml:space="preserve">Cascading Payouts: Freight earnings → bunker reserves → port fees → crew payroll → lender interest → operator margin</w:t>
      </w:r>
    </w:p>
    <w:p>
      <w:pPr>
        <w:pStyle w:val="ListParagraph"/>
        <w:numPr>
          <w:ilvl w:val="0"/>
          <w:numId w:val="2"/>
        </w:numPr>
      </w:pPr>
      <w:r>
        <w:t xml:space="preserve">Real-Time Reconciliation: Voyage data triggers automatic settlement events; no manual intervention</w:t>
      </w:r>
    </w:p>
    <w:p>
      <w:pPr>
        <w:pStyle w:val="ListParagraph"/>
        <w:numPr>
          <w:ilvl w:val="0"/>
          <w:numId w:val="2"/>
        </w:numPr>
      </w:pPr>
      <w:r>
        <w:t xml:space="preserve">Regulatory Compliance: Immutable logs satisfy lender audits, P&amp;I club claims, flag-state inspections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MVP &amp; Market Positioning</w:t>
      </w:r>
    </w:p>
    <w:p>
      <w:pPr>
        <w:pStyle w:val="Heading2"/>
      </w:pPr>
      <w:r>
        <w:t xml:space="preserve">Phase 1 (12 months, $500K)</w:t>
      </w:r>
    </w:p>
    <w:p>
      <w:pPr>
        <w:pStyle w:val="ListParagraph"/>
        <w:numPr>
          <w:ilvl w:val="0"/>
          <w:numId w:val="2"/>
        </w:numPr>
      </w:pPr>
      <w:r>
        <w:t xml:space="preserve">Single fleet operator (5–15 vessels, initially focused on 5)</w:t>
      </w:r>
    </w:p>
    <w:p>
      <w:pPr>
        <w:pStyle w:val="ListParagraph"/>
        <w:numPr>
          <w:ilvl w:val="0"/>
          <w:numId w:val="2"/>
        </w:numPr>
      </w:pPr>
      <w:r>
        <w:t xml:space="preserve">Freight revenue only; expand to bunker, port fees, crew in future phases</w:t>
      </w:r>
    </w:p>
    <w:p>
      <w:pPr>
        <w:pStyle w:val="ListParagraph"/>
        <w:numPr>
          <w:ilvl w:val="0"/>
          <w:numId w:val="2"/>
        </w:numPr>
      </w:pPr>
      <w:r>
        <w:t xml:space="preserve">Immutable settlement log and basic compliance dashboard</w:t>
      </w:r>
    </w:p>
    <w:p>
      <w:pPr>
        <w:pStyle w:val="ListParagraph"/>
        <w:numPr>
          <w:ilvl w:val="0"/>
          <w:numId w:val="2"/>
        </w:numPr>
      </w:pPr>
      <w:r>
        <w:t xml:space="preserve">API integration with operator's voyage management system</w:t>
      </w:r>
    </w:p>
    <w:p>
      <w:pPr>
        <w:pStyle w:val="ListParagraph"/>
        <w:numPr>
          <w:ilvl w:val="0"/>
          <w:numId w:val="2"/>
        </w:numPr>
      </w:pPr>
      <w:r>
        <w:t xml:space="preserve">Target: 50+ voyages/month, $6K avg settlement, $300K ARR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Phase 2–3 (Years 2–5)</w:t>
      </w:r>
    </w:p>
    <w:p>
      <w:pPr>
        <w:pStyle w:val="ListParagraph"/>
        <w:numPr>
          <w:ilvl w:val="0"/>
          <w:numId w:val="2"/>
        </w:numPr>
      </w:pPr>
      <w:r>
        <w:t xml:space="preserve">Multi-operator hub: 10–20 fleet operators trading settlement data</w:t>
      </w:r>
    </w:p>
    <w:p>
      <w:pPr>
        <w:pStyle w:val="ListParagraph"/>
        <w:numPr>
          <w:ilvl w:val="0"/>
          <w:numId w:val="2"/>
        </w:numPr>
      </w:pPr>
      <w:r>
        <w:t xml:space="preserve">All revenue streams: bunker costs, port fees, crew payroll, insurance claims</w:t>
      </w:r>
    </w:p>
    <w:p>
      <w:pPr>
        <w:pStyle w:val="ListParagraph"/>
        <w:numPr>
          <w:ilvl w:val="0"/>
          <w:numId w:val="2"/>
        </w:numPr>
      </w:pPr>
      <w:r>
        <w:t xml:space="preserve">Ship-finance lender ecosystem integration (direct API to major banks)</w:t>
      </w:r>
    </w:p>
    <w:p>
      <w:pPr>
        <w:pStyle w:val="ListParagraph"/>
        <w:numPr>
          <w:ilvl w:val="0"/>
          <w:numId w:val="2"/>
        </w:numPr>
      </w:pPr>
      <w:r>
        <w:t xml:space="preserve">P&amp;I club claims automation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Revenue Model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Stream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Pricing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% of Settled Revenue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0.5–1.0% per voyage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SaaS: Settlement, Compliance Reporting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$5K–$20K/month per operator</w:t>
            </w:r>
          </w:p>
        </w:tc>
      </w:tr>
    </w:tbl>
    <w:p>
      <w:pPr>
        <w:spacing w:after="120"/>
      </w:pPr>
      <w:r>
        <w:t xml:space="preserve"/>
      </w:r>
    </w:p>
    <w:p>
      <w:r>
        <w:rPr>
          <w:b/>
          <w:bCs/>
        </w:rPr>
        <w:t xml:space="preserve">Year 1 Projection: </w:t>
      </w:r>
      <w:r>
        <w:t xml:space="preserve">50 voyages/month × $6K avg settlement × 0.75% rev-share = $225K ARR, plus $75K SaaS = $300K total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Use of $500K Pre-Seed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0"/>
        <w:gridCol w:w="2360"/>
      </w:tblGrid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Category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Allocation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Engineering (Event Bus, Ledger, API, UI)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45%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Operations &amp; Customer Success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20%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Sales &amp; Maritime Partnerships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15%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Compliance, Legal, Regulatory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15%</w:t>
            </w:r>
          </w:p>
        </w:tc>
      </w:tr>
      <w:tr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Runway &amp; Contingency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5%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Financial Projections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4"/>
        <w:gridCol w:w="1404"/>
        <w:gridCol w:w="1404"/>
        <w:gridCol w:w="1404"/>
        <w:gridCol w:w="1404"/>
        <w:gridCol w:w="1404"/>
      </w:tblGrid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Y1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Y2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Y3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Y4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0A5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Y5</w:t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ARR ($M)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$0.3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$2.0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$8.0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$18.0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$35.0</w:t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Operators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1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3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8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15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20+</w:t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Voyages/mo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50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200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600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1,200</w:t>
            </w:r>
          </w:p>
        </w:tc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t xml:space="preserve">2,000+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Competitive Advantage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Regulatory Moat: </w:t>
      </w:r>
      <w:r>
        <w:t xml:space="preserve">Immutable settlement logs = automatic compliance with lender &amp; flag-state audits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Network Effect: </w:t>
      </w:r>
      <w:r>
        <w:t xml:space="preserve">Multi-operator hub drives exponential claimability and value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Deep Integration: </w:t>
      </w:r>
      <w:r>
        <w:t xml:space="preserve">Real-time voyage state machine eliminates manual data entry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Tokenized Model: </w:t>
      </w:r>
      <w:r>
        <w:t xml:space="preserve">Revenue splits transparent and auditable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Traction &amp; Key Partnerships</w:t>
      </w:r>
    </w:p>
    <w:p>
      <w:pPr>
        <w:pStyle w:val="ListParagraph"/>
        <w:numPr>
          <w:ilvl w:val="0"/>
          <w:numId w:val="2"/>
        </w:numPr>
      </w:pPr>
      <w:r>
        <w:t xml:space="preserve">LOI from Tier 1 maritime operator (15-vessel fleet, ~$250M annual freight revenue)</w:t>
      </w:r>
    </w:p>
    <w:p>
      <w:pPr>
        <w:pStyle w:val="ListParagraph"/>
        <w:numPr>
          <w:ilvl w:val="0"/>
          <w:numId w:val="2"/>
        </w:numPr>
      </w:pPr>
      <w:r>
        <w:t xml:space="preserve">Interest from major ship-finance bank (pilot agreement in final stages)</w:t>
      </w:r>
    </w:p>
    <w:p>
      <w:pPr>
        <w:pStyle w:val="ListParagraph"/>
        <w:numPr>
          <w:ilvl w:val="0"/>
          <w:numId w:val="2"/>
        </w:numPr>
      </w:pPr>
      <w:r>
        <w:t xml:space="preserve">Preliminary regulatory feedback positive from flag states and maritime authorities</w:t>
      </w:r>
    </w:p>
    <w:p>
      <w:pPr>
        <w:pStyle w:val="ListParagraph"/>
        <w:numPr>
          <w:ilvl w:val="0"/>
          <w:numId w:val="2"/>
        </w:numPr>
      </w:pPr>
      <w:r>
        <w:t xml:space="preserve">Team: 2 co-founders with 15+ years combined maritime ops + fintech experience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Risk Mitigation</w:t>
      </w:r>
    </w:p>
    <w:p>
      <w:pPr>
        <w:pStyle w:val="Heading2"/>
      </w:pPr>
      <w:r>
        <w:t xml:space="preserve">Market Risk</w:t>
      </w:r>
    </w:p>
    <w:p>
      <w:r>
        <w:t xml:space="preserve">LOI + preliminary lender interest validate demand. Approach: Focus first customer, measure NPS, scale via word-of-mouth.</w:t>
      </w:r>
    </w:p>
    <w:p>
      <w:pPr>
        <w:spacing w:after="100"/>
      </w:pPr>
      <w:r>
        <w:t xml:space="preserve"/>
      </w:r>
    </w:p>
    <w:p>
      <w:pPr>
        <w:pStyle w:val="Heading2"/>
      </w:pPr>
      <w:r>
        <w:t xml:space="preserve">Regulatory Risk</w:t>
      </w:r>
    </w:p>
    <w:p>
      <w:r>
        <w:t xml:space="preserve">Maritime regulations vary by flag state. Approach: Engage with UK P&amp;I Club, major lenders early; ensure SOLAS/IMO compliance.</w:t>
      </w:r>
    </w:p>
    <w:p>
      <w:pPr>
        <w:spacing w:after="100"/>
      </w:pPr>
      <w:r>
        <w:t xml:space="preserve"/>
      </w:r>
    </w:p>
    <w:p>
      <w:pPr>
        <w:pStyle w:val="Heading2"/>
      </w:pPr>
      <w:r>
        <w:t xml:space="preserve">Technical Risk</w:t>
      </w:r>
    </w:p>
    <w:p>
      <w:r>
        <w:t xml:space="preserve">Event Bus and ledger must handle real-time consistency. Approach: Proven architecture (Kafka, PostgreSQL WAL), extensive load testing before go-live.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Conclusion</w:t>
      </w:r>
    </w:p>
    <w:p>
      <w:r>
        <w:t xml:space="preserve">ShipShare™ captures a $5B+ market opportunity by digitizing voyage revenue accounting for maritime finance. With $500K pre-seed funding, we will deliver a production MVP serving one tier-1 operator by end of Year 1, generating $300K ARR and demonstrating the blueprint for multi-operator scaling to $35M ARR by Year 5.</w:t>
      </w:r>
    </w:p>
    <w:p>
      <w:pPr>
        <w:spacing w:after="120"/>
      </w:pPr>
      <w:r>
        <w:t xml:space="preserve"/>
      </w:r>
    </w:p>
    <w:p>
      <w:r>
        <w:t xml:space="preserve">We are seeking investors who understand maritime finance, blockchain/ledger tech, and the regulatory tailwinds driving digital transformation in shipping.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color w:val="0C1B2A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color w:val="0C1B2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2026-04-01T10:08:08.184Z</dcterms:created>
  <dcterms:modified xsi:type="dcterms:W3CDTF">2026-04-01T10:08:08.184Z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