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b/>
          <w:bCs/>
          <w:sz w:val="32"/>
          <w:szCs w:val="32"/>
        </w:rPr>
        <w:t xml:space="preserve">MEMORANDUM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TO: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VC Investors &amp; Partners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FROM: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Signal Tokens™ Team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April 1, 2026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$500K Pre-Seed Investment: Tokenized Attention &amp; Engagement Economy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Executive Summary</w:t>
      </w:r>
    </w:p>
    <w:p>
      <w:pPr>
        <w:spacing w:after="240"/>
      </w:pPr>
      <w:r>
        <w:t xml:space="preserve">Signal Tokens™ is a DUAL-native platform that transforms user attention and engagement into verifiable, tradeable tokens. We solve a $19.3B annual problem: digital advertising fraud and bot-driven engagement metrics. By tokenizing attention with cryptographic identity verification, geo-positioning, and programmable quality scoring, we enable brands to purchase genuine audience engagement while publishers monetize verified attention beyond traditional advertising.</w:t>
      </w:r>
    </w:p>
    <w:p>
      <w:pPr>
        <w:pStyle w:val="Heading1"/>
      </w:pPr>
      <w:r>
        <w:t xml:space="preserve">The Problem</w:t>
      </w:r>
    </w:p>
    <w:p>
      <w:pPr>
        <w:spacing w:after="120"/>
      </w:pPr>
      <text>Digital Advertising Fraud: </text>
      <text>The $400B digital advertising market loses 20-30% of budgets to bot fraud, fake clicks, and non-genuine engagement. Brands cannot distinguish real attention from bot-driven traffic.</text>
    </w:p>
    <w:p>
      <w:pPr>
        <w:spacing w:after="120"/>
      </w:pPr>
      <text>Attention Quality Crisis: </text>
      <text>Current metrics treat all engagement equally. A 2-second ad view counts the same as a 30-second deep-read. Publishers lack incentives to optimize for genuine attention; brands waste budgets on low-quality exposure.</text>
    </w:p>
    <w:p>
      <w:pPr>
        <w:spacing w:after="240"/>
      </w:pPr>
      <text>Trust &amp; Transparency Gap: </text>
      <text>No verifiable proof of engagement authenticity. Existing identity solutions are siloed; blockchain attention claims lack real-world verification.</text>
    </w:p>
    <w:p>
      <w:pPr>
        <w:pStyle w:val="Heading1"/>
      </w:pPr>
      <w:r>
        <w:t xml:space="preserve">The Solution: Signal Tokens™</w:t>
      </w:r>
    </w:p>
    <w:p>
      <w:pPr>
        <w:spacing w:after="120"/>
      </w:pPr>
      <w:r>
        <w:t xml:space="preserve">Signal Tokens™ represents user attention as programmable tokens with verifiable provenance. Core features:</w:t>
      </w:r>
    </w:p>
    <w:p>
      <w:pPr>
        <w:spacing w:after="120"/>
      </w:pPr>
      <text>Quality-Based Valuation: </text>
      <text>Engagement depth determines token value. A 30-second article read earns higher-value tokens than a drive-by click.</text>
    </w:p>
    <w:p>
      <w:pPr>
        <w:spacing w:after="120"/>
      </w:pPr>
      <text>Identity-Verified Engagement: </text>
      <text>DUAL's Identity Layer cryptographically verifies users, preventing bot farming and fake engagement.</text>
    </w:p>
    <w:p>
      <w:pPr>
        <w:spacing w:after="120"/>
      </w:pPr>
      <text>Geo-Positioned Premiums: </text>
      <text>Tokens linked to geographic location enable location-aware campaigns with engagement quality guarantees.</text>
    </w:p>
    <w:p>
      <w:pPr>
        <w:spacing w:after="240"/>
      </w:pPr>
      <text>Programmable State Evolution: </text>
      <text>Tokens transition through states (Earned → Maturing → Redeemable → Spent) with transparent value tracking.</text>
    </w:p>
    <w:p>
      <w:pPr>
        <w:pStyle w:val="Heading1"/>
      </w:pPr>
      <w:r>
        <w:t xml:space="preserve">DUAL-Native Advantages</w:t>
      </w:r>
    </w:p>
    <w:p>
      <w:pPr>
        <w:spacing w:after="120"/>
      </w:pPr>
      <w:r>
        <w:t xml:space="preserve">Signal Tokens leverage DUAL's native infrastructure:</w:t>
      </w:r>
    </w:p>
    <w:p>
      <w:pPr>
        <w:spacing w:after="100"/>
      </w:pPr>
      <text>Identity Layer: </text>
      <text>Verifies user identity, prevents sybil attacks and bot farming at protocol level.</text>
    </w:p>
    <w:p>
      <w:pPr>
        <w:spacing w:after="100"/>
      </w:pPr>
      <text>Mutable State: </text>
      <text>Engagement depth, maturity time, quality scores update dynamically as tokens evolve.</text>
    </w:p>
    <w:p>
      <w:pPr>
        <w:spacing w:after="100"/>
      </w:pPr>
      <text>Logic Layer: </text>
      <text>Quality scoring algorithms run on-chain, transparent and tamper-proof.</text>
    </w:p>
    <w:p>
      <w:pPr>
        <w:spacing w:after="240"/>
      </w:pPr>
      <text>Geo-Positioning: </text>
      <text>Location data embedded enables location-based attention premiums and geo-targeted campaigns.</text>
    </w:p>
    <w:p>
      <w:pPr>
        <w:pStyle w:val="Heading1"/>
      </w:pPr>
      <w:r>
        <w:t xml:space="preserve">MVP &amp; Go-to-Market</w:t>
      </w:r>
    </w:p>
    <w:p>
      <w:pPr>
        <w:spacing w:after="100"/>
      </w:pPr>
      <w:r>
        <w:t xml:space="preserve">Phase 1 (6 Months, Pre-Seed):</w:t>
      </w:r>
    </w:p>
    <w:p>
      <w:pPr>
        <w:spacing w:after="200"/>
      </w:pPr>
      <text>Single content platform partner</text>
      <text>Single engagement type (article reads; 30+ seconds = signal)</text>
      <text>1,000 verified users minimum</text>
      <text>Basic quality scoring &amp; token trading UI</text>
    </w:p>
    <w:p>
      <w:pPr>
        <w:pStyle w:val="Heading2"/>
      </w:pPr>
      <w:r>
        <w:t xml:space="preserve">Target Customers</w:t>
      </w:r>
    </w:p>
    <w:p>
      <w:pPr>
        <w:spacing w:after="240"/>
      </w:pPr>
      <text>Content platforms (news publishers, media companies)</text>
      <text>Ad networks &amp; DSPs seeking quality signals</text>
      <text>Brand marketing teams optimizing engagement budgets</text>
      <text>Loyalty &amp; rewards platforms modernizing engagement</text>
    </w:p>
    <w:p>
      <w:pPr>
        <w:pStyle w:val="Heading1"/>
      </w:pPr>
      <w:r>
        <w:t xml:space="preserve">Financials</w:t>
      </w:r>
    </w:p>
    <w:p>
      <w:pPr>
        <w:spacing w:after="100"/>
      </w:pPr>
      <w:r>
        <w:t xml:space="preserve">Revenue Model:</w:t>
      </w:r>
    </w:p>
    <w:p>
      <w:pPr>
        <w:spacing w:after="200"/>
      </w:pPr>
      <text>Marketplace fee: 10-15% of token trades</text>
      <text>Publisher SaaS: Monthly subscription for tracking &amp; analytics</text>
      <text>Brand licensing: Premium access to high-quality attention segments</text>
      <text>Geo-targeting premiums: Location-based bundles command higher prices</text>
    </w:p>
    <w:p>
      <w:pPr>
        <w:spacing w:after="240"/>
      </w:pPr>
      <w:r>
        <w:t xml:space="preserve">Projections (Y1-Y5): $0 → $300K → $1.2M → $6.5M → $18M → $40M</w:t>
      </w:r>
    </w:p>
    <w:p>
      <w:pPr>
        <w:pStyle w:val="Heading1"/>
      </w:pPr>
      <w:r>
        <w:t xml:space="preserve">Use of Funds ($500K)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Category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Engineering (Platform, Bot Detection, DUAL Integration)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$200,000 (40%)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Sales &amp; Partnerships (Publisher deals, brand partnerships)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$200,000 (40%)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Operations (Legal, Compliance, Infrastructure)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$100,000 (20%)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Why Now</w:t>
      </w:r>
    </w:p>
    <w:p>
      <w:pPr>
        <w:spacing w:after="240"/>
      </w:pPr>
      <text>Growing awareness of ad fraud (IAB reports $19.3B annual losses)</text>
      <text>DUAL protocol maturity enables production-grade identity verification</text>
      <text>Brands increasingly demand transparency and verified engagement metrics</text>
      <text>Publishers seeking new revenue streams beyond declining ad rates</text>
    </w:p>
    <w:p>
      <w:pPr>
        <w:pStyle w:val="Heading1"/>
      </w:pPr>
      <w:r>
        <w:t xml:space="preserve">Contact</w:t>
      </w:r>
    </w:p>
    <w:p>
      <w:r>
        <w:t xml:space="preserve">Signal Tokens™ Team | investors@signaltokens.com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2026-04-01T09:43:01.888Z</dcterms:created>
  <dcterms:modified xsi:type="dcterms:W3CDTF">2026-04-01T09:43:01.889Z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