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b/>
          <w:bCs/>
          <w:color w:val="1E3A8A"/>
          <w:sz w:val="28"/>
          <w:szCs w:val="28"/>
        </w:rPr>
        <w:t xml:space="preserve">SpectrumAlloc™ — DUAL Network</w:t>
      </w:r>
    </w:p>
    <w:p>
      <w:pPr>
        <w:spacing w:after="240"/>
      </w:pPr>
      <w:r>
        <w:rPr>
          <w:color w:val="4B5563"/>
          <w:sz w:val="20"/>
          <w:szCs w:val="20"/>
        </w:rPr>
        <w:t xml:space="preserve">FCC Spectrum Lease Workflow &amp; Compliance Ledger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To: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Potential Pre-Seed Investors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From: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SpectrumAlloc Founding Team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April 1, 2026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rPr>
                <w:b/>
                <w:bCs/>
              </w:rPr>
              <w:t xml:space="preserve">Re: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r>
              <w:t xml:space="preserve">$500K Pre-Seed Investment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Executive Summary</w:t>
      </w:r>
    </w:p>
    <w:p>
      <w:pPr>
        <w:spacing w:after="120"/>
      </w:pPr>
      <w:r>
        <w:t xml:space="preserve">SpectrumAlloc™ is a SaaS platform that automates FCC spectrum lease management, compliance tracking, and sub-lease transfers for licensed carriers and spectrum brokers. We are seeking $500K in pre-seed funding to build the MVP and acquire our first pilot customers.</w:t>
      </w:r>
    </w:p>
    <w:p>
      <w:pPr>
        <w:spacing w:after="240"/>
      </w:pPr>
      <w:r>
        <w:t xml:space="preserve">The spectrum secondary market is $15B annually, with compliance management fragmented across email and spreadsheets. A 2024 FCC rule change mandates real-time compliance reporting, creating immediate demand for our solution.</w:t>
      </w:r>
    </w:p>
    <w:p>
      <w:pPr>
        <w:pStyle w:val="Heading1"/>
      </w:pPr>
      <w:r>
        <w:t xml:space="preserve">Problem</w:t>
      </w:r>
    </w:p>
    <w:p>
      <w:pPr>
        <w:spacing w:after="120"/>
      </w:pPr>
      <w:r>
        <w:rPr>
          <w:b/>
          <w:bCs/>
        </w:rPr>
        <w:t xml:space="preserve">FCC license holders (Dish, Verizon, T-Mobile) and independent spectrum brokers face critical gaps:</w:t>
      </w:r>
    </w:p>
    <w:p>
      <w:pPr>
        <w:pStyle w:val="ListParagraph"/>
        <w:numPr>
          <w:ilvl w:val="0"/>
          <w:numId w:val="{bullets-0}"/>
        </w:numPr>
      </w:pPr>
      <w:r>
        <w:t xml:space="preserve">Lease agreements and sub-lease transfers are managed in disconnected systems (email, spreadsheets, law firm portals)</w:t>
      </w:r>
    </w:p>
    <w:p>
      <w:pPr>
        <w:pStyle w:val="ListParagraph"/>
        <w:numPr>
          <w:ilvl w:val="0"/>
          <w:numId w:val="{bullets-0}"/>
        </w:numPr>
      </w:pPr>
      <w:r>
        <w:t xml:space="preserve">Compliance tracking for FCC Part 47 is manual and error-prone, risking license suspension and $100K+ fines</w:t>
      </w:r>
    </w:p>
    <w:p>
      <w:pPr>
        <w:pStyle w:val="ListParagraph"/>
        <w:numPr>
          <w:ilvl w:val="0"/>
          <w:numId w:val="{bullets-0}"/>
        </w:numPr>
      </w:pPr>
      <w:r>
        <w:t xml:space="preserve">Geo-positioning and coverage zone monitoring lack real-time visibility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No audit trail for lease modifications, creating liability and regulatory friction</w:t>
      </w:r>
    </w:p>
    <w:p>
      <w:pPr>
        <w:pStyle w:val="Heading1"/>
      </w:pPr>
      <w:r>
        <w:t xml:space="preserve">Solution</w:t>
      </w:r>
    </w:p>
    <w:p>
      <w:pPr>
        <w:spacing w:after="120"/>
      </w:pPr>
      <w:r>
        <w:t xml:space="preserve">SpectrumAlloc is a unified compliance ledger for spectrum leases:</w:t>
      </w:r>
    </w:p>
    <w:p>
      <w:pPr>
        <w:pStyle w:val="ListParagraph"/>
        <w:numPr>
          <w:ilvl w:val="0"/>
          <w:numId w:val="{bullets-0}"/>
        </w:numPr>
      </w:pPr>
      <w:r>
        <w:t xml:space="preserve">Centralized lease agreement upload and OCR parsing</w:t>
      </w:r>
    </w:p>
    <w:p>
      <w:pPr>
        <w:pStyle w:val="ListParagraph"/>
        <w:numPr>
          <w:ilvl w:val="0"/>
          <w:numId w:val="{bullets-0}"/>
        </w:numPr>
      </w:pPr>
      <w:r>
        <w:t xml:space="preserve">Automated FCC Part 47 compliance checklists and milestone tracking</w:t>
      </w:r>
    </w:p>
    <w:p>
      <w:pPr>
        <w:pStyle w:val="ListParagraph"/>
        <w:numPr>
          <w:ilvl w:val="0"/>
          <w:numId w:val="{bullets-0}"/>
        </w:numPr>
      </w:pPr>
      <w:r>
        <w:t xml:space="preserve">Sub-lease transfer workflow with cryptographic audit trails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Geo-positioned coverage maps and renewal deadline alerts</w:t>
      </w:r>
    </w:p>
    <w:p>
      <w:pPr>
        <w:pStyle w:val="Heading1"/>
      </w:pPr>
      <w:r>
        <w:t xml:space="preserve">MVP (Year 1 Target)</w:t>
      </w:r>
    </w:p>
    <w:p>
      <w:pPr>
        <w:spacing w:after="120"/>
      </w:pPr>
      <w:r>
        <w:t xml:space="preserve">Launch with single license holder scope to validate model quickly:</w:t>
      </w:r>
    </w:p>
    <w:p>
      <w:pPr>
        <w:pStyle w:val="ListParagraph"/>
        <w:numPr>
          <w:ilvl w:val="0"/>
          <w:numId w:val="{bullets-0}"/>
        </w:numPr>
      </w:pPr>
      <w:r>
        <w:t xml:space="preserve">One FCC license holder; one frequency band</w:t>
      </w:r>
    </w:p>
    <w:p>
      <w:pPr>
        <w:pStyle w:val="ListParagraph"/>
        <w:numPr>
          <w:ilvl w:val="0"/>
          <w:numId w:val="{bullets-0}"/>
        </w:numPr>
      </w:pPr>
      <w:r>
        <w:t xml:space="preserve">One active sub-lessee per license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Lease agreement tracking, compliance milestone management, and geo-visualization</w:t>
      </w:r>
    </w:p>
    <w:p>
      <w:pPr>
        <w:pStyle w:val="Heading1"/>
      </w:pPr>
      <w:r>
        <w:t xml:space="preserve">Market &amp; Opportunity</w:t>
      </w:r>
    </w:p>
    <w:p>
      <w:pPr>
        <w:spacing w:after="120"/>
      </w:pPr>
      <w:r>
        <w:t xml:space="preserve">Total Addressable Market (TAM):</w:t>
      </w:r>
    </w:p>
    <w:p>
      <w:pPr>
        <w:pStyle w:val="ListParagraph"/>
        <w:numPr>
          <w:ilvl w:val="0"/>
          <w:numId w:val="{bullets-0}"/>
        </w:numPr>
      </w:pPr>
      <w:r>
        <w:t xml:space="preserve">Spectrum secondary market: $15B / year</w:t>
      </w:r>
    </w:p>
    <w:p>
      <w:pPr>
        <w:pStyle w:val="ListParagraph"/>
        <w:numPr>
          <w:ilvl w:val="0"/>
          <w:numId w:val="{bullets-0}"/>
        </w:numPr>
      </w:pPr>
      <w:r>
        <w:t xml:space="preserve">Compliance and regulatory services: $3B / year</w:t>
      </w:r>
    </w:p>
    <w:p>
      <w:pPr>
        <w:pStyle w:val="ListParagraph"/>
        <w:numPr>
          <w:ilvl w:val="0"/>
          <w:numId w:val="{bullets-0}"/>
        </w:numPr>
        <w:spacing w:after="120"/>
      </w:pPr>
      <w:r>
        <w:t xml:space="preserve">~1,200 FCC-licensed spectrum holders in the US</w:t>
      </w:r>
    </w:p>
    <w:p>
      <w:pPr>
        <w:spacing w:after="120"/>
      </w:pPr>
      <w:r>
        <w:t xml:space="preserve">Primary buyers:</w:t>
      </w:r>
    </w:p>
    <w:p>
      <w:pPr>
        <w:pStyle w:val="ListParagraph"/>
        <w:numPr>
          <w:ilvl w:val="0"/>
          <w:numId w:val="{bullets-0}"/>
        </w:numPr>
      </w:pPr>
      <w:r>
        <w:t xml:space="preserve">Tier-1 carriers: Dish, Verizon, T-Mobile, AT&amp;T</w:t>
      </w:r>
    </w:p>
    <w:p>
      <w:pPr>
        <w:pStyle w:val="ListParagraph"/>
        <w:numPr>
          <w:ilvl w:val="0"/>
          <w:numId w:val="{bullets-0}"/>
        </w:numPr>
      </w:pPr>
      <w:r>
        <w:t xml:space="preserve">Independent spectrum brokers (50+ in US)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MVNOs with leased spectrum portfolios</w:t>
      </w:r>
    </w:p>
    <w:p>
      <w:pPr>
        <w:pStyle w:val="Heading1"/>
      </w:pPr>
      <w:r>
        <w:t xml:space="preserve">Revenue Model</w:t>
      </w:r>
    </w:p>
    <w:p>
      <w:pPr>
        <w:pStyle w:val="ListParagraph"/>
        <w:numPr>
          <w:ilvl w:val="0"/>
          <w:numId w:val="{bullets-0}"/>
        </w:numPr>
      </w:pPr>
      <w:r>
        <w:t xml:space="preserve">Transaction fee: 0.5–1.0% of lease value (one-time, at signing)</w:t>
      </w:r>
    </w:p>
    <w:p>
      <w:pPr>
        <w:pStyle w:val="ListParagraph"/>
        <w:numPr>
          <w:ilvl w:val="0"/>
          <w:numId w:val="{bullets-0}"/>
        </w:numPr>
      </w:pPr>
      <w:r>
        <w:t xml:space="preserve">Monthly SaaS subscription: $500–$2,000 per licensee (by portfolio size)</w:t>
      </w:r>
    </w:p>
    <w:p>
      <w:pPr>
        <w:pStyle w:val="ListParagraph"/>
        <w:numPr>
          <w:ilvl w:val="0"/>
          <w:numId w:val="{bullets-0}"/>
        </w:numPr>
        <w:spacing w:after="120"/>
      </w:pPr>
      <w:r>
        <w:t xml:space="preserve">Example: $10M lease → $50K transaction fee + $1,500/month recurring</w:t>
      </w:r>
    </w:p>
    <w:p>
      <w:pPr>
        <w:spacing w:after="240"/>
      </w:pPr>
      <w:r>
        <w:t xml:space="preserve">3-year customer LTV: $54K–$144K per licensee</w:t>
      </w:r>
    </w:p>
    <w:p>
      <w:pPr>
        <w:pStyle w:val="Heading1"/>
      </w:pPr>
      <w:r>
        <w:t xml:space="preserve">Competitive Advantages</w:t>
      </w:r>
    </w:p>
    <w:p>
      <w:pPr>
        <w:pStyle w:val="ListParagraph"/>
        <w:numPr>
          <w:ilvl w:val="0"/>
          <w:numId w:val="{bullets-0}"/>
        </w:numPr>
      </w:pPr>
      <w:r>
        <w:t xml:space="preserve">FCC Part 47 compliance expertise embedded in product (first-mover)</w:t>
      </w:r>
    </w:p>
    <w:p>
      <w:pPr>
        <w:pStyle w:val="ListParagraph"/>
        <w:numPr>
          <w:ilvl w:val="0"/>
          <w:numId w:val="{bullets-0}"/>
        </w:numPr>
      </w:pPr>
      <w:r>
        <w:t xml:space="preserve">Network effects: Data standardization enables benchmark pricing</w:t>
      </w:r>
    </w:p>
    <w:p>
      <w:pPr>
        <w:pStyle w:val="ListParagraph"/>
        <w:numPr>
          <w:ilvl w:val="0"/>
          <w:numId w:val="{bullets-0}"/>
        </w:numPr>
      </w:pPr>
      <w:r>
        <w:t xml:space="preserve">Proprietary geo-positioning algorithms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Direct relationships with Tier-1 carriers and broker networks</w:t>
      </w:r>
    </w:p>
    <w:p>
      <w:pPr>
        <w:pStyle w:val="Heading1"/>
      </w:pPr>
      <w:r>
        <w:t xml:space="preserve">Market Validation</w:t>
      </w:r>
    </w:p>
    <w:p>
      <w:pPr>
        <w:pStyle w:val="ListParagraph"/>
        <w:numPr>
          <w:ilvl w:val="0"/>
          <w:numId w:val="{bullets-0}"/>
        </w:numPr>
      </w:pPr>
      <w:r>
        <w:t xml:space="preserve">2024 FCC rule change mandates real-time compliance reporting (immediate demand signal)</w:t>
      </w:r>
    </w:p>
    <w:p>
      <w:pPr>
        <w:pStyle w:val="ListParagraph"/>
        <w:numPr>
          <w:ilvl w:val="0"/>
          <w:numId w:val="{bullets-0}"/>
        </w:numPr>
      </w:pPr>
      <w:r>
        <w:t xml:space="preserve">Spectrum secondary market growing at +40% YoY</w:t>
      </w:r>
    </w:p>
    <w:p>
      <w:pPr>
        <w:pStyle w:val="ListParagraph"/>
        <w:numPr>
          <w:ilvl w:val="0"/>
          <w:numId w:val="{bullets-0}"/>
        </w:numPr>
      </w:pPr>
      <w:r>
        <w:t xml:space="preserve">$16B spectrum auction pipeline (2025–2027)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No integrated SaaS solution exists; incumbents use manual workflows</w:t>
      </w:r>
    </w:p>
    <w:p>
      <w:pPr>
        <w:pStyle w:val="Heading1"/>
      </w:pPr>
      <w:r>
        <w:t xml:space="preserve">Go-to-Market Strategy</w:t>
      </w:r>
    </w:p>
    <w:p>
      <w:pPr>
        <w:spacing w:after="120"/>
      </w:pPr>
      <w:r>
        <w:t xml:space="preserve">Year 1 Milestones:</w:t>
      </w:r>
    </w:p>
    <w:p>
      <w:pPr>
        <w:pStyle w:val="ListParagraph"/>
        <w:numPr>
          <w:ilvl w:val="0"/>
          <w:numId w:val="{bullets-0}"/>
        </w:numPr>
      </w:pPr>
      <w:r>
        <w:t xml:space="preserve">Q2 2026: MVP launch (single license holder, single band)</w:t>
      </w:r>
    </w:p>
    <w:p>
      <w:pPr>
        <w:pStyle w:val="ListParagraph"/>
        <w:numPr>
          <w:ilvl w:val="0"/>
          <w:numId w:val="{bullets-0}"/>
        </w:numPr>
      </w:pPr>
      <w:r>
        <w:t xml:space="preserve">Q3 2026: 2 pilot licenses with Tier-1 carrier</w:t>
      </w:r>
    </w:p>
    <w:p>
      <w:pPr>
        <w:pStyle w:val="ListParagraph"/>
        <w:numPr>
          <w:ilvl w:val="0"/>
          <w:numId w:val="{bullets-0}"/>
        </w:numPr>
      </w:pPr>
      <w:r>
        <w:t xml:space="preserve">Q4 2026: 6 active licenses; $120K ARR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Sales: Direct enterprise + broker partnerships</w:t>
      </w:r>
    </w:p>
    <w:p>
      <w:pPr>
        <w:pStyle w:val="Heading1"/>
      </w:pPr>
      <w:r>
        <w:t xml:space="preserve">Use of $500K Pre-Seed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3960"/>
      </w:tblGrid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Category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Product Development (MVP)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$250K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Sales &amp; Partnerships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$100K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Regulatory &amp; Legal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$75K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Operations &amp; Admin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$50K</w:t>
            </w:r>
          </w:p>
        </w:tc>
      </w:tr>
      <w:tr>
        <w:tc>
          <w:tcPr>
            <w:tcW w:type="dxa" w:w="5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Runway &amp; Contingency</w:t>
            </w:r>
          </w:p>
        </w:tc>
        <w:tc>
          <w:tcPr>
            <w:tcW w:type="dxa" w:w="3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$25K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Team</w:t>
      </w:r>
    </w:p>
    <w:p>
      <w:pPr>
        <w:spacing w:after="120"/>
      </w:pPr>
      <w:r>
        <w:rPr>
          <w:b/>
          <w:bCs/>
        </w:rPr>
        <w:t xml:space="preserve">CEO &amp; Founder:</w:t>
      </w:r>
      <w:r>
        <w:t xml:space="preserve"> 12 years spectrum regulatory experience (FCC Office of Engineering &amp; Technology); direct relationships with Tier-1 carrier compliance teams.</w:t>
      </w:r>
    </w:p>
    <w:p>
      <w:pPr>
        <w:spacing w:after="120"/>
      </w:pPr>
      <w:r>
        <w:rPr>
          <w:b/>
          <w:bCs/>
        </w:rPr>
        <w:t xml:space="preserve">CTO:</w:t>
      </w:r>
      <w:r>
        <w:t xml:space="preserve"> Ex-Vodafone, 8 years telecom infrastructure; full-stack developer (Node.js, Python, AWS, PostgreSQL).</w:t>
      </w:r>
    </w:p>
    <w:p>
      <w:pPr>
        <w:spacing w:after="120"/>
      </w:pPr>
      <w:r>
        <w:rPr>
          <w:b/>
          <w:bCs/>
        </w:rPr>
        <w:t xml:space="preserve">Advisor:</w:t>
      </w:r>
      <w:r>
        <w:t xml:space="preserve"> Former FCC Chairman's Chief Counsel; 15 years spectrum policy expertise.</w:t>
      </w:r>
    </w:p>
    <w:p>
      <w:pPr>
        <w:spacing w:after="240"/>
      </w:pPr>
      <w:r>
        <w:rPr>
          <w:b/>
          <w:bCs/>
        </w:rPr>
        <w:t xml:space="preserve">Advisor:</w:t>
      </w:r>
      <w:r>
        <w:t xml:space="preserve"> Senior Director, Spectrum Strategy at Tier-1 carrier; 20+ years carrier operations.</w:t>
      </w:r>
    </w:p>
    <w:p>
      <w:pPr>
        <w:pStyle w:val="Heading1"/>
      </w:pPr>
      <w:r>
        <w:t xml:space="preserve">Investment Highlights</w:t>
      </w:r>
    </w:p>
    <w:p>
      <w:pPr>
        <w:pStyle w:val="ListParagraph"/>
        <w:numPr>
          <w:ilvl w:val="0"/>
          <w:numId w:val="{bullets-0}"/>
        </w:numPr>
      </w:pPr>
      <w:r>
        <w:t xml:space="preserve">Large, fragmented TAM: $18B in spectrum leasing + compliance</w:t>
      </w:r>
    </w:p>
    <w:p>
      <w:pPr>
        <w:pStyle w:val="ListParagraph"/>
        <w:numPr>
          <w:ilvl w:val="0"/>
          <w:numId w:val="{bullets-0}"/>
        </w:numPr>
      </w:pPr>
      <w:r>
        <w:t xml:space="preserve">Immediate demand: 2024 FCC rule change mandates compliance reporting</w:t>
      </w:r>
    </w:p>
    <w:p>
      <w:pPr>
        <w:pStyle w:val="ListParagraph"/>
        <w:numPr>
          <w:ilvl w:val="0"/>
          <w:numId w:val="{bullets-0}"/>
        </w:numPr>
      </w:pPr>
      <w:r>
        <w:t xml:space="preserve">First-mover advantage: No SaaS solution exists for spectrum lease management</w:t>
      </w:r>
    </w:p>
    <w:p>
      <w:pPr>
        <w:pStyle w:val="ListParagraph"/>
        <w:numPr>
          <w:ilvl w:val="0"/>
          <w:numId w:val="{bullets-0}"/>
        </w:numPr>
      </w:pPr>
      <w:r>
        <w:t xml:space="preserve">Strong founding team: FCC expertise + carrier relationships + technical chops</w:t>
      </w:r>
    </w:p>
    <w:p>
      <w:pPr>
        <w:pStyle w:val="ListParagraph"/>
        <w:numPr>
          <w:ilvl w:val="0"/>
          <w:numId w:val="{bullets-0}"/>
        </w:numPr>
        <w:spacing w:after="240"/>
      </w:pPr>
      <w:r>
        <w:t xml:space="preserve">Attractive unit economics: Transaction + SaaS hybrid model with 3-year LTV of $54K–$144K</w:t>
      </w:r>
    </w:p>
    <w:p>
      <w:pPr>
        <w:spacing w:after="120"/>
      </w:pPr>
      <w:r>
        <w:t xml:space="preserve">We are ready to move quickly and would welcome a conversation with interested investors.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E3A8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3B82F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2026-04-01T09:55:39.555Z</dcterms:created>
  <dcterms:modified xsi:type="dcterms:W3CDTF">2026-04-01T09:55:39.555Z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