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06B6D4"/>
          <w:sz w:val="28"/>
          <w:szCs w:val="28"/>
        </w:rPr>
        <w:t xml:space="preserve">CONFIDENTIAL</w:t>
      </w:r>
    </w:p>
    <w:p>
      <w:pPr>
        <w:spacing w:after="120"/>
        <w:jc w:val="center"/>
      </w:pPr>
      <w:r>
        <w:rPr>
          <w:b/>
          <w:bCs/>
          <w:sz w:val="32"/>
          <w:szCs w:val="32"/>
        </w:rPr>
        <w:t xml:space="preserve">SUBFLOW™ PRE-SEED FUNDING MEMO</w:t>
      </w:r>
    </w:p>
    <w:p>
      <w:pPr>
        <w:spacing w:after="480"/>
        <w:jc w:val="center"/>
      </w:pPr>
      <w:r>
        <w:rPr>
          <w:color w:val="666666"/>
          <w:sz w:val="24"/>
          <w:szCs w:val="24"/>
        </w:rPr>
        <w:t xml:space="preserve">SaaS License Optimization &amp; Reallocation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Borders>
              <w:top w:val="single" w:color="06B6D4" w:sz="6"/>
              <w:left w:val="single" w:color="06B6D4" w:sz="6"/>
              <w:bottom w:val="single" w:color="06B6D4" w:sz="6"/>
              <w:right w:val="single" w:color="06B6D4" w:sz="6"/>
            </w:tcBorders>
            <w:shd w:fill="F0F9FF" w:val="clear"/>
            <w:tcMar>
              <w:top w:type="dxa" w:w="80"/>
              <w:left w:type="dxa" w:w="120"/>
              <w:bottom w:type="dxa" w:w="80"/>
              <w:right w:type="dxa" w:w="120"/>
            </w:tcMar>
          </w:tcPr>
          <w:p>
            <w:r>
              <w:t xml:space="preserve">To:</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Investors</w:t>
            </w:r>
          </w:p>
        </w:tc>
      </w:tr>
      <w:tr>
        <w:tc>
          <w:tcPr>
            <w:tcBorders>
              <w:top w:val="single" w:color="06B6D4" w:sz="6"/>
              <w:left w:val="single" w:color="06B6D4" w:sz="6"/>
              <w:bottom w:val="single" w:color="06B6D4" w:sz="6"/>
              <w:right w:val="single" w:color="06B6D4" w:sz="6"/>
            </w:tcBorders>
            <w:shd w:fill="F0F9FF" w:val="clear"/>
            <w:tcMar>
              <w:top w:type="dxa" w:w="80"/>
              <w:left w:type="dxa" w:w="120"/>
              <w:bottom w:type="dxa" w:w="80"/>
              <w:right w:type="dxa" w:w="120"/>
            </w:tcMar>
          </w:tcPr>
          <w:p>
            <w:r>
              <w:t xml:space="preserve">From:</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SubFlow Team</w:t>
            </w:r>
          </w:p>
        </w:tc>
      </w:tr>
      <w:tr>
        <w:tc>
          <w:tcPr>
            <w:tcBorders>
              <w:top w:val="single" w:color="06B6D4" w:sz="6"/>
              <w:left w:val="single" w:color="06B6D4" w:sz="6"/>
              <w:bottom w:val="single" w:color="06B6D4" w:sz="6"/>
              <w:right w:val="single" w:color="06B6D4" w:sz="6"/>
            </w:tcBorders>
            <w:shd w:fill="F0F9FF" w:val="clear"/>
            <w:tcMar>
              <w:top w:type="dxa" w:w="80"/>
              <w:left w:type="dxa" w:w="120"/>
              <w:bottom w:type="dxa" w:w="80"/>
              <w:right w:type="dxa" w:w="120"/>
            </w:tcMar>
          </w:tcPr>
          <w:p>
            <w:r>
              <w:t xml:space="preserve">Date:</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April 1, 2026</w:t>
            </w:r>
          </w:p>
        </w:tc>
      </w:tr>
      <w:tr>
        <w:tc>
          <w:tcPr>
            <w:tcBorders>
              <w:top w:val="single" w:color="06B6D4" w:sz="6"/>
              <w:left w:val="single" w:color="06B6D4" w:sz="6"/>
              <w:bottom w:val="single" w:color="06B6D4" w:sz="6"/>
              <w:right w:val="single" w:color="06B6D4" w:sz="6"/>
            </w:tcBorders>
            <w:shd w:fill="F0F9FF" w:val="clear"/>
            <w:tcMar>
              <w:top w:type="dxa" w:w="80"/>
              <w:left w:type="dxa" w:w="120"/>
              <w:bottom w:type="dxa" w:w="80"/>
              <w:right w:type="dxa" w:w="120"/>
            </w:tcMar>
          </w:tcPr>
          <w:p>
            <w:r>
              <w:t xml:space="preserve">Funding:</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$500K Pre-Seed</w:t>
            </w:r>
          </w:p>
        </w:tc>
      </w:tr>
    </w:tbl>
    <w:p>
      <w:pPr>
        <w:spacing w:after="240"/>
      </w:pPr>
      <w:r>
        <w:t xml:space="preserve"/>
      </w:r>
    </w:p>
    <w:p>
      <w:pPr>
        <w:pStyle w:val="Heading1"/>
        <w:spacing w:after="120" w:before="120"/>
      </w:pPr>
      <w:r>
        <w:t xml:space="preserve">Executive Summary</w:t>
      </w:r>
    </w:p>
    <w:p>
      <w:pPr>
        <w:spacing w:after="240"/>
      </w:pPr>
      <w:r>
        <w:t xml:space="preserve">Enterprises waste $45 billion annually on SaaS licenses. Up to 30% of software licenses remain underutilized, unused, or needlessly expire. SubFlow™ automates license lifecycle management, enabling IT procurement teams to reclaim 15-30% of annual SaaS spending through intelligent reallocation, usage optimization, and automated license recovery.</w:t>
      </w:r>
    </w:p>
    <w:p>
      <w:pPr>
        <w:pStyle w:val="Heading1"/>
        <w:spacing w:after="120" w:before="120"/>
      </w:pPr>
      <w:r>
        <w:t xml:space="preserve">Problem</w:t>
      </w:r>
    </w:p>
    <w:p>
      <w:pPr>
        <w:pStyle w:val="ListParagraph"/>
        <w:numPr>
          <w:ilvl w:val="0"/>
          <w:numId w:val="2"/>
        </w:numPr>
      </w:pPr>
      <w:r>
        <w:t xml:space="preserve">$45B annual waste in enterprise SaaS licenses—approximately 30% of total SaaS spend</w:t>
      </w:r>
    </w:p>
    <w:p>
      <w:pPr>
        <w:pStyle w:val="ListParagraph"/>
        <w:numPr>
          <w:ilvl w:val="0"/>
          <w:numId w:val="2"/>
        </w:numPr>
      </w:pPr>
      <w:r>
        <w:t xml:space="preserve">Manual license reallocation is slow, error-prone, and lacks real-time visibility</w:t>
      </w:r>
    </w:p>
    <w:p>
      <w:pPr>
        <w:pStyle w:val="ListParagraph"/>
        <w:numPr>
          <w:ilvl w:val="0"/>
          <w:numId w:val="2"/>
        </w:numPr>
      </w:pPr>
      <w:r>
        <w:t xml:space="preserve">Licenses expire when employees leave; no automated recovery mechanisms</w:t>
      </w:r>
    </w:p>
    <w:p>
      <w:pPr>
        <w:pStyle w:val="ListParagraph"/>
        <w:numPr>
          <w:ilvl w:val="0"/>
          <w:numId w:val="2"/>
        </w:numPr>
        <w:spacing w:after="240"/>
      </w:pPr>
      <w:r>
        <w:t xml:space="preserve">IT procurement teams lack actionable usage data for optimization</w:t>
      </w:r>
    </w:p>
    <w:p>
      <w:pPr>
        <w:pStyle w:val="Heading1"/>
        <w:spacing w:after="120" w:before="120"/>
      </w:pPr>
      <w:r>
        <w:t xml:space="preserve">Solution: SubFlow License Lifecycle Management</w:t>
      </w:r>
    </w:p>
    <w:p>
      <w:pPr>
        <w:spacing w:after="120"/>
      </w:pPr>
      <w:r>
        <w:t xml:space="preserve">SubFlow provides enterprise IT teams with an automated platform to track, optimize, and reallocate SaaS licenses in real time. The platform monitors license assignment, usage, and reallocation across the full license lifecycle:</w:t>
      </w:r>
    </w:p>
    <w:p>
      <w:pPr>
        <w:pStyle w:val="ListParagraph"/>
        <w:numPr>
          <w:ilvl w:val="0"/>
          <w:numId w:val="2"/>
        </w:numPr>
      </w:pPr>
      <w:r>
        <w:t xml:space="preserve">Assigned → Active → Underutilized → Reclaimed → Reassigned → Expired</w:t>
      </w:r>
    </w:p>
    <w:p>
      <w:pPr>
        <w:pStyle w:val="ListParagraph"/>
        <w:numPr>
          <w:ilvl w:val="0"/>
          <w:numId w:val="2"/>
        </w:numPr>
      </w:pPr>
      <w:r>
        <w:t xml:space="preserve">Real-time usage analytics and dashboard visibility</w:t>
      </w:r>
    </w:p>
    <w:p>
      <w:pPr>
        <w:pStyle w:val="ListParagraph"/>
        <w:numPr>
          <w:ilvl w:val="0"/>
          <w:numId w:val="2"/>
        </w:numPr>
      </w:pPr>
      <w:r>
        <w:t xml:space="preserve">Automatic license reclamation on employee departure</w:t>
      </w:r>
    </w:p>
    <w:p>
      <w:pPr>
        <w:pStyle w:val="ListParagraph"/>
        <w:numPr>
          <w:ilvl w:val="0"/>
          <w:numId w:val="2"/>
        </w:numPr>
        <w:spacing w:after="240"/>
      </w:pPr>
      <w:r>
        <w:t xml:space="preserve">Vendor-agnostic (integrates with Salesforce, Office 365, Slack, etc.)</w:t>
      </w:r>
    </w:p>
    <w:p>
      <w:pPr>
        <w:pStyle w:val="Heading1"/>
        <w:spacing w:after="120" w:before="120"/>
      </w:pPr>
      <w:r>
        <w:t xml:space="preserve">MVP Scope &amp; Launch Plan</w:t>
      </w:r>
    </w:p>
    <w:p>
      <w:pPr>
        <w:spacing w:after="120"/>
      </w:pPr>
      <w:r>
        <w:rPr>
          <w:b/>
          <w:bCs/>
        </w:rPr>
        <w:t xml:space="preserve">Focused Go-to-Market: Single enterprise IT team, single SaaS vendor (Salesforce), 500 seats</w:t>
      </w:r>
    </w:p>
    <w:p>
      <w:pPr>
        <w:pStyle w:val="ListParagraph"/>
        <w:numPr>
          <w:ilvl w:val="0"/>
          <w:numId w:val="2"/>
        </w:numPr>
      </w:pPr>
      <w:r>
        <w:t xml:space="preserve">Q2 2026: Product MVP launch</w:t>
      </w:r>
    </w:p>
    <w:p>
      <w:pPr>
        <w:pStyle w:val="ListParagraph"/>
        <w:numPr>
          <w:ilvl w:val="0"/>
          <w:numId w:val="2"/>
        </w:numPr>
      </w:pPr>
      <w:r>
        <w:t xml:space="preserve">Q3-Q4 2026: 5-10 enterprise pilots (500-2,000 seats each)</w:t>
      </w:r>
    </w:p>
    <w:p>
      <w:pPr>
        <w:pStyle w:val="ListParagraph"/>
        <w:numPr>
          <w:ilvl w:val="0"/>
          <w:numId w:val="2"/>
        </w:numPr>
        <w:spacing w:after="240"/>
      </w:pPr>
      <w:r>
        <w:t xml:space="preserve">Y2: Expand to multi-vendor, $3M ARR target</w:t>
      </w:r>
    </w:p>
    <w:p>
      <w:pPr>
        <w:pStyle w:val="Heading1"/>
        <w:spacing w:after="120" w:before="120"/>
      </w:pPr>
      <w:r>
        <w:t xml:space="preserve">Revenue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Segment</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Price Model</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Per-Seat SaaS</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$2-5/seat/month</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Enterprise Licensing</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$10K-50K annual</w:t>
            </w:r>
          </w:p>
        </w:tc>
      </w:tr>
    </w:tbl>
    <w:p>
      <w:pPr>
        <w:spacing w:after="240"/>
      </w:pPr>
      <w:r>
        <w:t xml:space="preserve"/>
      </w:r>
    </w:p>
    <w:p>
      <w:pPr>
        <w:pStyle w:val="Heading1"/>
        <w:spacing w:after="120" w:before="120"/>
      </w:pPr>
      <w:r>
        <w:t xml:space="preserve">Market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06B6D4" w:sz="6"/>
              <w:left w:val="single" w:color="06B6D4" w:sz="6"/>
              <w:bottom w:val="single" w:color="06B6D4" w:sz="6"/>
              <w:right w:val="single" w:color="06B6D4" w:sz="6"/>
            </w:tcBorders>
            <w:shd w:fill="E8F4F8" w:val="clear"/>
            <w:tcMar>
              <w:top w:type="dxa" w:w="80"/>
              <w:left w:type="dxa" w:w="120"/>
              <w:bottom w:type="dxa" w:w="80"/>
              <w:right w:type="dxa" w:w="120"/>
            </w:tcMar>
          </w:tcPr>
          <w:p>
            <w:r>
              <w:rPr>
                <w:b/>
                <w:bCs/>
              </w:rPr>
              <w:t xml:space="preserve">Market Segment</w:t>
            </w:r>
          </w:p>
        </w:tc>
        <w:tc>
          <w:tcPr>
            <w:tcBorders>
              <w:top w:val="single" w:color="06B6D4" w:sz="6"/>
              <w:left w:val="single" w:color="06B6D4" w:sz="6"/>
              <w:bottom w:val="single" w:color="06B6D4" w:sz="6"/>
              <w:right w:val="single" w:color="06B6D4" w:sz="6"/>
            </w:tcBorders>
            <w:shd w:fill="E8F4F8" w:val="clear"/>
            <w:tcMar>
              <w:top w:type="dxa" w:w="80"/>
              <w:left w:type="dxa" w:w="120"/>
              <w:bottom w:type="dxa" w:w="80"/>
              <w:right w:type="dxa" w:w="120"/>
            </w:tcMar>
          </w:tcPr>
          <w:p>
            <w:r>
              <w:rPr>
                <w:b/>
                <w:bCs/>
              </w:rPr>
              <w:t xml:space="preserve">Size</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Enterprise Software Waste</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$45B annually</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SaaS Management Market</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$7B TAM</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SubFlow RTB (Y1-Y5)</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$500M-$1B</w:t>
            </w:r>
          </w:p>
        </w:tc>
      </w:tr>
    </w:tbl>
    <w:p>
      <w:pPr>
        <w:spacing w:after="240"/>
      </w:pPr>
      <w:r>
        <w:t xml:space="preserve"/>
      </w:r>
    </w:p>
    <w:p>
      <w:pPr>
        <w:pStyle w:val="Heading1"/>
        <w:spacing w:after="120" w:before="120"/>
      </w:pPr>
      <w:r>
        <w:t xml:space="preserve">Go-to-Market Strategy</w:t>
      </w:r>
    </w:p>
    <w:p>
      <w:r>
        <w:rPr>
          <w:b/>
          <w:bCs/>
        </w:rPr>
        <w:t xml:space="preserve">Primary Buyers:</w:t>
      </w:r>
    </w:p>
    <w:p>
      <w:pPr>
        <w:pStyle w:val="ListParagraph"/>
        <w:numPr>
          <w:ilvl w:val="0"/>
          <w:numId w:val="2"/>
        </w:numPr>
      </w:pPr>
      <w:r>
        <w:t xml:space="preserve">Enterprise IT procurement teams ($1B+ revenue companies)</w:t>
      </w:r>
    </w:p>
    <w:p>
      <w:pPr>
        <w:pStyle w:val="ListParagraph"/>
        <w:numPr>
          <w:ilvl w:val="0"/>
          <w:numId w:val="2"/>
        </w:numPr>
        <w:spacing w:after="120"/>
      </w:pPr>
      <w:r>
        <w:t xml:space="preserve">SaaS management platforms (Zylo, Productiv, Torii) as distribution partners</w:t>
      </w:r>
    </w:p>
    <w:p>
      <w:r>
        <w:rPr>
          <w:b/>
          <w:bCs/>
        </w:rPr>
        <w:t xml:space="preserve">Sales Channels:</w:t>
      </w:r>
    </w:p>
    <w:p>
      <w:pPr>
        <w:pStyle w:val="ListParagraph"/>
        <w:numPr>
          <w:ilvl w:val="0"/>
          <w:numId w:val="2"/>
        </w:numPr>
      </w:pPr>
      <w:r>
        <w:t xml:space="preserve">Direct: Land 10 enterprise pilots in Y1; build case studies</w:t>
      </w:r>
    </w:p>
    <w:p>
      <w:pPr>
        <w:pStyle w:val="ListParagraph"/>
        <w:numPr>
          <w:ilvl w:val="0"/>
          <w:numId w:val="2"/>
        </w:numPr>
        <w:spacing w:after="240"/>
      </w:pPr>
      <w:r>
        <w:t xml:space="preserve">Partner: Integrate with existing SaaS management vendors for white-label/co-sell</w:t>
      </w:r>
    </w:p>
    <w:p>
      <w:pPr>
        <w:pStyle w:val="Heading1"/>
        <w:spacing w:after="120" w:before="120"/>
      </w:pPr>
      <w:r>
        <w:t xml:space="preserve">Use of Funds ($500K Pre-Seed)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2"/>
        <w:gridCol w:w="2808"/>
      </w:tblGrid>
      <w:tr>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Category</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Amount</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Product Development</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$200K (40%)</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Sales &amp; Business Development</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$175K (35%)</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Operations &amp; Admin</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$75K (15%)</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rPr>
                <w:b/>
                <w:bCs/>
              </w:rPr>
              <w:t xml:space="preserve">Reserve</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rPr>
                <w:b/>
                <w:bCs/>
              </w:rPr>
              <w:t xml:space="preserve">$50K (10%)</w:t>
            </w:r>
          </w:p>
        </w:tc>
      </w:tr>
    </w:tbl>
    <w:p>
      <w:pPr>
        <w:spacing w:after="240"/>
      </w:pPr>
      <w:r>
        <w:t xml:space="preserve"/>
      </w:r>
    </w:p>
    <w:p>
      <w:pPr>
        <w:pStyle w:val="Heading1"/>
        <w:spacing w:after="120" w:before="120"/>
      </w:pPr>
      <w:r>
        <w:t xml:space="preserve">5-Year Financial Projections</w:t>
      </w:r>
    </w:p>
    <w:p>
      <w:r>
        <w:t xml:space="preserve">Conservative assumptions: 15-20% annual logo growth, $50K-$200K ASP ramp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Metric</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Y1</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Y2</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Y3</w:t>
            </w:r>
          </w:p>
        </w:tc>
        <w:tc>
          <w:tcPr>
            <w:tcBorders>
              <w:top w:val="single" w:color="06B6D4" w:sz="6"/>
              <w:left w:val="single" w:color="06B6D4" w:sz="6"/>
              <w:bottom w:val="single" w:color="06B6D4" w:sz="6"/>
              <w:right w:val="single" w:color="06B6D4" w:sz="6"/>
            </w:tcBorders>
            <w:shd w:fill="06B6D4" w:val="clear"/>
            <w:tcMar>
              <w:top w:type="dxa" w:w="80"/>
              <w:left w:type="dxa" w:w="120"/>
              <w:bottom w:type="dxa" w:w="80"/>
              <w:right w:type="dxa" w:w="120"/>
            </w:tcMar>
          </w:tcPr>
          <w:p>
            <w:r>
              <w:rPr>
                <w:b/>
                <w:bCs/>
                <w:color w:val="FFFFFF"/>
              </w:rPr>
              <w:t xml:space="preserve">Y5</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ARR</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$500K</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$3M</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$12M</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$55M</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Customers</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10</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35</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80</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250</w:t>
            </w:r>
          </w:p>
        </w:tc>
      </w:tr>
      <w:tr>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ACS</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$50K</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$85K</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$150K</w:t>
            </w:r>
          </w:p>
        </w:tc>
        <w:tc>
          <w:tcPr>
            <w:tcBorders>
              <w:top w:val="single" w:color="06B6D4" w:sz="6"/>
              <w:left w:val="single" w:color="06B6D4" w:sz="6"/>
              <w:bottom w:val="single" w:color="06B6D4" w:sz="6"/>
              <w:right w:val="single" w:color="06B6D4" w:sz="6"/>
            </w:tcBorders>
            <w:tcMar>
              <w:top w:type="dxa" w:w="80"/>
              <w:left w:type="dxa" w:w="120"/>
              <w:bottom w:type="dxa" w:w="80"/>
              <w:right w:type="dxa" w:w="120"/>
            </w:tcMar>
          </w:tcPr>
          <w:p>
            <w:r>
              <w:t xml:space="preserve">$220K</w:t>
            </w:r>
          </w:p>
        </w:tc>
      </w:tr>
    </w:tbl>
    <w:p>
      <w:pPr>
        <w:spacing w:after="240"/>
      </w:pPr>
      <w:r>
        <w:t xml:space="preserve"/>
      </w:r>
    </w:p>
    <w:p>
      <w:pPr>
        <w:pStyle w:val="Heading1"/>
        <w:spacing w:after="120" w:before="120"/>
      </w:pPr>
      <w:r>
        <w:t xml:space="preserve">Why SubFlow Wins</w:t>
      </w:r>
    </w:p>
    <w:p>
      <w:pPr>
        <w:pStyle w:val="ListParagraph"/>
        <w:numPr>
          <w:ilvl w:val="0"/>
          <w:numId w:val="2"/>
        </w:numPr>
      </w:pPr>
      <w:r>
        <w:t xml:space="preserve">Only platform combining license tracking + usage analytics + auto-reclamation</w:t>
      </w:r>
    </w:p>
    <w:p>
      <w:pPr>
        <w:pStyle w:val="ListParagraph"/>
        <w:numPr>
          <w:ilvl w:val="0"/>
          <w:numId w:val="2"/>
        </w:numPr>
      </w:pPr>
      <w:r>
        <w:t xml:space="preserve">Vendor-agnostic: Works across Salesforce, Microsoft 365, Slack, ServiceNow, etc.</w:t>
      </w:r>
    </w:p>
    <w:p>
      <w:pPr>
        <w:pStyle w:val="ListParagraph"/>
        <w:numPr>
          <w:ilvl w:val="0"/>
          <w:numId w:val="2"/>
        </w:numPr>
      </w:pPr>
      <w:r>
        <w:t xml:space="preserve">30% license savings ROI—compelling for enterprise IT teams</w:t>
      </w:r>
    </w:p>
    <w:p>
      <w:pPr>
        <w:pStyle w:val="ListParagraph"/>
        <w:numPr>
          <w:ilvl w:val="0"/>
          <w:numId w:val="2"/>
        </w:numPr>
        <w:spacing w:after="240"/>
      </w:pPr>
      <w:r>
        <w:t xml:space="preserve">Proven team: SaaS operations, license optimization, and enterprise sales expertise</w:t>
      </w:r>
    </w:p>
    <w:p>
      <w:pPr>
        <w:spacing w:after="120"/>
      </w:pPr>
      <w:r>
        <w:t xml:space="preserve"/>
      </w:r>
    </w:p>
    <w:p>
      <w:pPr>
        <w:jc w:val="center"/>
      </w:pPr>
      <w:r>
        <w:rPr>
          <w:color w:val="06B6D4"/>
        </w:rPr>
        <w:t xml:space="preserve">For investor inquiries, contact: investors@subflow.io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2026-04-01T10:42:05.021Z</dcterms:created>
  <dcterms:modified xsi:type="dcterms:W3CDTF">2026-04-01T10:42:05.021Z</dcterms:modified>
</cp:coreProperties>
</file>

<file path=docProps/custom.xml><?xml version="1.0" encoding="utf-8"?>
<Properties xmlns="http://schemas.openxmlformats.org/officeDocument/2006/custom-properties" xmlns:vt="http://schemas.openxmlformats.org/officeDocument/2006/docPropsVTypes"/>
</file>