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color w:val="DC2626"/>
          <w:sz w:val="24"/>
          <w:szCs w:val="24"/>
        </w:rPr>
        <w:t xml:space="preserve">CONFIDENTIAL</w:t>
      </w:r>
      <w:r>
        <w:rPr>
          <w:sz w:val="24"/>
          <w:szCs w:val="24"/>
        </w:rPr>
        <w:t xml:space="preserve">
Investment Memorandum</w:t>
      </w:r>
    </w:p>
    <w:p>
      <w:pPr>
        <w:pStyle w:val="Heading1"/>
      </w:pPr>
      <w:r>
        <w:t xml:space="preserve">TrialChain™: Consent Management &amp; Audit Trail for Clinical Trials</w:t>
      </w:r>
    </w:p>
    <w:p>
      <w:pPr>
        <w:spacing w:after="240"/>
      </w:pPr>
      <w:r>
        <w:rPr>
          <w:b/>
          <w:bCs/>
        </w:rPr>
        <w:t xml:space="preserve">Pre-Seed Funding Request: $500,000</w:t>
      </w:r>
      <w:r>
        <w:rPr>
          <w:b/>
          <w:bCs/>
        </w:rPr>
        <w:t xml:space="preserve">
18-Month Runway</w:t>
      </w:r>
    </w:p>
    <w:p>
      <w:pPr>
        <w:pStyle w:val="Heading2"/>
      </w:pPr>
      <w:r>
        <w:t xml:space="preserve">Executive Summary</w:t>
      </w:r>
    </w:p>
    <w:p>
      <w:pPr>
        <w:spacing w:after="200"/>
      </w:pPr>
      <w:r>
        <w:t xml:space="preserve">TrialChain solves a critical compliance gap in clinical trial management: immutable consent tracking and automated data access auditing. Our tokenized consent platform embeds FDA 21 CFR Part 11, HIPAA, and GDPR compliance into the core data layer, using the DUAL Network's mutable state + immutable audit model to deliver real-time visibility into who accessed what data, when, and with what consent version.</w:t>
      </w:r>
    </w:p>
    <w:p>
      <w:pPr>
        <w:spacing w:after="200"/>
      </w:pPr>
      <w:r>
        <w:rPr>
          <w:b/>
          <w:bCs/>
        </w:rPr>
        <w:t xml:space="preserve">Target Buyers: </w:t>
      </w:r>
      <w:r>
        <w:t xml:space="preserve">Contract Research Organizations (IQVIA, Parexel, Charles River), trial sponsors, and compliance auditors.</w:t>
      </w:r>
    </w:p>
    <w:p>
      <w:pPr>
        <w:spacing w:after="200"/>
      </w:pPr>
      <w:r>
        <w:rPr>
          <w:b/>
          <w:bCs/>
        </w:rPr>
        <w:t xml:space="preserve">Market Opportunity: </w:t>
      </w:r>
      <w:r>
        <w:t xml:space="preserve">$7B clinical trial management market; $2B consent/compliance compliance TAM.</w:t>
      </w:r>
    </w:p>
    <w:p>
      <w:pPr>
        <w:spacing w:after="240"/>
      </w:pPr>
      <w:r>
        <w:rPr>
          <w:b/>
          <w:bCs/>
        </w:rPr>
        <w:t xml:space="preserve">Business Model: </w:t>
      </w:r>
      <w:r>
        <w:t xml:space="preserve">$5–15 per patient per trial (SaaS) or $5K–20K monthly per trial. Projected Year 1 ARR: $400K; Year 5: $45M+.</w:t>
      </w:r>
    </w:p>
    <w:p>
      <w:pPr>
        <w:pStyle w:val="Heading2"/>
      </w:pPr>
      <w:r>
        <w:t xml:space="preserve">The Problem</w:t>
      </w:r>
    </w:p>
    <w:p>
      <w:pPr>
        <w:spacing w:after="120"/>
      </w:pPr>
      <w:r>
        <w:t xml:space="preserve">Clinical trials generate consent documents, but no modern system tracks:</w:t>
      </w:r>
    </w:p>
    <w:p>
      <w:pPr>
        <w:pStyle w:val="ListParagraph"/>
        <w:numPr>
          <w:ilvl w:val="0"/>
          <w:numId w:val="{bullets-0}"/>
        </w:numPr>
      </w:pPr>
      <w:r>
        <w:t xml:space="preserve">Consent version control: Which patient signed v1.0 vs. v2.1?</w:t>
      </w:r>
    </w:p>
    <w:p>
      <w:pPr>
        <w:pStyle w:val="ListParagraph"/>
        <w:numPr>
          <w:ilvl w:val="0"/>
          <w:numId w:val="{bullets-0}"/>
        </w:numPr>
      </w:pPr>
      <w:r>
        <w:t xml:space="preserve">Data access audits: Who pulled patient data? When? For what reason?</w:t>
      </w:r>
    </w:p>
    <w:p>
      <w:pPr>
        <w:pStyle w:val="ListParagraph"/>
        <w:numPr>
          <w:ilvl w:val="0"/>
          <w:numId w:val="{bullets-0}"/>
        </w:numPr>
      </w:pPr>
      <w:r>
        <w:t xml:space="preserve">Revocation workflows: If a patient withdraws, are all copies deleted atomically?</w:t>
      </w:r>
    </w:p>
    <w:p>
      <w:pPr>
        <w:pStyle w:val="ListParagraph"/>
        <w:numPr>
          <w:ilvl w:val="0"/>
          <w:numId w:val="{bullets-0}"/>
        </w:numPr>
      </w:pPr>
      <w:r>
        <w:t xml:space="preserve">Regulatory compliance: FDA warnings (500+ Part 11 violations annually), GDPR fines ($4.5M+), HIPAA audit readiness.</w:t>
      </w:r>
    </w:p>
    <w:p>
      <w:pPr>
        <w:pStyle w:val="ListParagraph"/>
        <w:numPr>
          <w:ilvl w:val="0"/>
          <w:numId w:val="{bullets-0}"/>
        </w:numPr>
      </w:pPr>
      <w:r>
        <w:t xml:space="preserve">Offline resilience: Decentralized sites need to work offline; syncing is manual and error-prone.</w:t>
      </w:r>
    </w:p>
    <w:p>
      <w:pPr>
        <w:spacing w:after="240"/>
      </w:pPr>
    </w:p>
    <w:p>
      <w:pPr>
        <w:pStyle w:val="Heading2"/>
      </w:pPr>
      <w:r>
        <w:t xml:space="preserve">The Solution</w:t>
      </w:r>
    </w:p>
    <w:p>
      <w:pPr>
        <w:spacing w:after="120"/>
      </w:pPr>
      <w:r>
        <w:t xml:space="preserve">TrialChain is a DUAL Network-native consent management layer that:</w:t>
      </w:r>
    </w:p>
    <w:p>
      <w:pPr>
        <w:pStyle w:val="ListParagraph"/>
        <w:numPr>
          <w:ilvl w:val="0"/>
          <w:numId w:val="{bullets-0}"/>
        </w:numPr>
      </w:pPr>
      <w:r>
        <w:t xml:space="preserve">Tokenizes consent: Each patient receives a revocable token pegged to a specific consent version.</w:t>
      </w:r>
    </w:p>
    <w:p>
      <w:pPr>
        <w:pStyle w:val="ListParagraph"/>
        <w:numPr>
          <w:ilvl w:val="0"/>
          <w:numId w:val="{bullets-0}"/>
        </w:numPr>
      </w:pPr>
      <w:r>
        <w:t xml:space="preserve">Logs access immutably: Every data access event is appended to an immutable audit bus; tampering is detectable.</w:t>
      </w:r>
    </w:p>
    <w:p>
      <w:pPr>
        <w:pStyle w:val="ListParagraph"/>
        <w:numPr>
          <w:ilvl w:val="0"/>
          <w:numId w:val="{bullets-0}"/>
        </w:numPr>
      </w:pPr>
      <w:r>
        <w:t xml:space="preserve">Automates compliance: Continuous FDA/HIPAA/GDPR validation; auto-redaction on revocation.</w:t>
      </w:r>
    </w:p>
    <w:p>
      <w:pPr>
        <w:pStyle w:val="ListParagraph"/>
        <w:numPr>
          <w:ilvl w:val="0"/>
          <w:numId w:val="{bullets-0}"/>
        </w:numPr>
      </w:pPr>
      <w:r>
        <w:t xml:space="preserve">Supports degraded mode: Offline-first architecture; events queue locally and sync on reconnect.</w:t>
      </w:r>
    </w:p>
    <w:p>
      <w:pPr>
        <w:pStyle w:val="ListParagraph"/>
        <w:numPr>
          <w:ilvl w:val="0"/>
          <w:numId w:val="{bullets-0}"/>
        </w:numPr>
      </w:pPr>
      <w:r>
        <w:t xml:space="preserve">State machine: Consented → Data_Accessible → Revoked → Re_Consented → Trial_Complete. Each transition is logged.</w:t>
      </w:r>
    </w:p>
    <w:p>
      <w:pPr>
        <w:spacing w:after="240"/>
      </w:pPr>
    </w:p>
    <w:p>
      <w:pPr>
        <w:pStyle w:val="Heading2"/>
      </w:pPr>
      <w:r>
        <w:t xml:space="preserve">90-Day MVP</w:t>
      </w:r>
    </w:p>
    <w:p>
      <w:pPr>
        <w:spacing w:after="120"/>
      </w:pPr>
      <w:r>
        <w:rPr>
          <w:b/>
          <w:bCs/>
        </w:rPr>
        <w:t xml:space="preserve">Scope: </w:t>
      </w:r>
      <w:r>
        <w:t xml:space="preserve">Single CRO, single Phase 2/3 trial (50–200 patients), single sponsor.</w:t>
      </w:r>
    </w:p>
    <w:p>
      <w:pPr>
        <w:spacing w:after="100"/>
      </w:pPr>
      <w:r>
        <w:t xml:space="preserve">Deliverables:</w:t>
      </w:r>
    </w:p>
    <w:p>
      <w:pPr>
        <w:pStyle w:val="ListParagraph"/>
        <w:numPr>
          <w:ilvl w:val="0"/>
          <w:numId w:val="{bullets-0}"/>
        </w:numPr>
      </w:pPr>
      <w:r>
        <w:t xml:space="preserve">Consent token generation and versioning</w:t>
      </w:r>
    </w:p>
    <w:p>
      <w:pPr>
        <w:pStyle w:val="ListParagraph"/>
        <w:numPr>
          <w:ilvl w:val="0"/>
          <w:numId w:val="{bullets-0}"/>
        </w:numPr>
      </w:pPr>
      <w:r>
        <w:t xml:space="preserve">Data access event logging (immutable)</w:t>
      </w:r>
    </w:p>
    <w:p>
      <w:pPr>
        <w:pStyle w:val="ListParagraph"/>
        <w:numPr>
          <w:ilvl w:val="0"/>
          <w:numId w:val="{bullets-0}"/>
        </w:numPr>
      </w:pPr>
      <w:r>
        <w:t xml:space="preserve">Revocation + re-consent workflows</w:t>
      </w:r>
    </w:p>
    <w:p>
      <w:pPr>
        <w:pStyle w:val="ListParagraph"/>
        <w:numPr>
          <w:ilvl w:val="0"/>
          <w:numId w:val="{bullets-0}"/>
        </w:numPr>
      </w:pPr>
      <w:r>
        <w:t xml:space="preserve">Automated audit report generation</w:t>
      </w:r>
    </w:p>
    <w:p>
      <w:pPr>
        <w:pStyle w:val="ListParagraph"/>
        <w:numPr>
          <w:ilvl w:val="0"/>
          <w:numId w:val="{bullets-0}"/>
        </w:numPr>
      </w:pPr>
      <w:r>
        <w:t xml:space="preserve">HIPAA baseline compliance checks</w:t>
      </w:r>
    </w:p>
    <w:p>
      <w:pPr>
        <w:spacing w:after="240"/>
      </w:pPr>
    </w:p>
    <w:p>
      <w:pPr>
        <w:pStyle w:val="Heading2"/>
      </w:pPr>
      <w:r>
        <w:t xml:space="preserve">Use of Funds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single" w:color="CCCCCC" w:sz="1"/>
              <w:left w:val="single" w:color="CCCCCC" w:sz="1"/>
              <w:bottom w:val="single" w:color="CCCCCC" w:sz="1"/>
              <w:right w:val="single" w:color="CCCCCC" w:sz="1"/>
            </w:tcBorders>
            <w:shd w:fill="10B981" w:val="clear"/>
            <w:tcMar>
              <w:top w:type="dxa" w:w="80"/>
              <w:left w:type="dxa" w:w="120"/>
              <w:bottom w:type="dxa" w:w="80"/>
              <w:right w:type="dxa" w:w="120"/>
            </w:tcMar>
          </w:tcPr>
          <w:p>
            <w:r>
              <w:rPr>
                <w:b/>
                <w:bCs/>
                <w:color w:val="FFFFFF"/>
              </w:rPr>
              <w:t xml:space="preserve">Item</w:t>
            </w:r>
          </w:p>
        </w:tc>
        <w:tc>
          <w:tcPr>
            <w:tcW w:type="dxa" w:w="2860"/>
            <w:tcBorders>
              <w:top w:val="single" w:color="CCCCCC" w:sz="1"/>
              <w:left w:val="single" w:color="CCCCCC" w:sz="1"/>
              <w:bottom w:val="single" w:color="CCCCCC" w:sz="1"/>
              <w:right w:val="single" w:color="CCCCCC" w:sz="1"/>
            </w:tcBorders>
            <w:shd w:fill="10B981" w:val="clear"/>
            <w:tcMar>
              <w:top w:type="dxa" w:w="80"/>
              <w:left w:type="dxa" w:w="120"/>
              <w:bottom w:type="dxa" w:w="80"/>
              <w:right w:type="dxa" w:w="120"/>
            </w:tcMar>
          </w:tcPr>
          <w:p>
            <w:r>
              <w:rPr>
                <w:b/>
                <w:bCs/>
                <w:color w:val="FFFFFF"/>
              </w:rPr>
              <w:t xml:space="preserve">Amount</w:t>
            </w:r>
          </w:p>
        </w:tc>
      </w:tr>
      <w:tr>
        <w:tc>
          <w:tcPr>
            <w:tcW w:type="dxa" w:w="6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Engineering (MVP + infra)</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$250K</w:t>
            </w:r>
          </w:p>
        </w:tc>
      </w:tr>
      <w:tr>
        <w:tc>
          <w:tcPr>
            <w:tcW w:type="dxa" w:w="6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Pilot CRO partnerships + support</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$150K</w:t>
            </w:r>
          </w:p>
        </w:tc>
      </w:tr>
      <w:tr>
        <w:tc>
          <w:tcPr>
            <w:tcW w:type="dxa" w:w="6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Regulatory consulting (FDA filing)</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$75K</w:t>
            </w:r>
          </w:p>
        </w:tc>
      </w:tr>
      <w:tr>
        <w:tc>
          <w:tcPr>
            <w:tcW w:type="dxa" w:w="6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Operations &amp; legal</w:t>
            </w:r>
          </w:p>
        </w:tc>
        <w:tc>
          <w:tcPr>
            <w:tcW w:type="dxa" w:w="28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$25K</w:t>
            </w:r>
          </w:p>
        </w:tc>
      </w:tr>
    </w:tbl>
    <w:p>
      <w:pPr>
        <w:spacing w:after="240"/>
      </w:pPr>
    </w:p>
    <w:p>
      <w:pPr>
        <w:pStyle w:val="Heading2"/>
      </w:pPr>
      <w:r>
        <w:t xml:space="preserve">Path to Series A</w:t>
      </w:r>
    </w:p>
    <w:p>
      <w:pPr>
        <w:spacing w:after="100"/>
      </w:pPr>
      <w:r>
        <w:rPr>
          <w:b/>
          <w:bCs/>
        </w:rPr>
        <w:t xml:space="preserve">Months 1–6: </w:t>
      </w:r>
      <w:r>
        <w:t xml:space="preserve">MVP development, 1st CRO pilot, FDA pre-submission meeting</w:t>
      </w:r>
    </w:p>
    <w:p>
      <w:pPr>
        <w:spacing w:after="100"/>
      </w:pPr>
      <w:r>
        <w:rPr>
          <w:b/>
          <w:bCs/>
        </w:rPr>
        <w:t xml:space="preserve">Months 7–12: </w:t>
      </w:r>
      <w:r>
        <w:t xml:space="preserve">Expand to 3 CROs, validate revenue model ($30–50K MRR), secure regulatory pathway</w:t>
      </w:r>
    </w:p>
    <w:p>
      <w:pPr>
        <w:spacing w:after="240"/>
      </w:pPr>
      <w:r>
        <w:rPr>
          <w:b/>
          <w:bCs/>
        </w:rPr>
        <w:t xml:space="preserve">Months 13–18: </w:t>
      </w:r>
      <w:r>
        <w:t xml:space="preserve">Series A launch ($3–5M), scale to 10+ CROs, FDA guidance + HIPAA/GDPR attestation</w:t>
      </w:r>
    </w:p>
    <w:p>
      <w:pPr>
        <w:pStyle w:val="Heading2"/>
      </w:pPr>
      <w:r>
        <w:t xml:space="preserve">Investment Highlights</w:t>
      </w:r>
    </w:p>
    <w:p>
      <w:pPr>
        <w:pStyle w:val="ListParagraph"/>
        <w:numPr>
          <w:ilvl w:val="0"/>
          <w:numId w:val="{bullets-0}"/>
        </w:numPr>
      </w:pPr>
      <w:r>
        <w:t xml:space="preserve">Massive regulatory tailwind: 500+ FDA Part 11 violations/year; GDPR enforcement increasing</w:t>
      </w:r>
    </w:p>
    <w:p>
      <w:pPr>
        <w:pStyle w:val="ListParagraph"/>
        <w:numPr>
          <w:ilvl w:val="0"/>
          <w:numId w:val="{bullets-0}"/>
        </w:numPr>
      </w:pPr>
      <w:r>
        <w:t xml:space="preserve">DUAL-native architecture: No legacy constraints; built for compliance-as-code</w:t>
      </w:r>
    </w:p>
    <w:p>
      <w:pPr>
        <w:pStyle w:val="ListParagraph"/>
        <w:numPr>
          <w:ilvl w:val="0"/>
          <w:numId w:val="{bullets-0}"/>
        </w:numPr>
      </w:pPr>
      <w:r>
        <w:t xml:space="preserve">Proven unit economics: $5–15 COGS; $300–2K ARR per patient; 60%+ gross margins by Y2</w:t>
      </w:r>
    </w:p>
    <w:p>
      <w:pPr>
        <w:pStyle w:val="ListParagraph"/>
        <w:numPr>
          <w:ilvl w:val="0"/>
          <w:numId w:val="{bullets-0}"/>
        </w:numPr>
      </w:pPr>
      <w:r>
        <w:t xml:space="preserve">Founding team: Former FDA + biotech + blockchain experts</w:t>
      </w:r>
    </w:p>
    <w:p>
      <w:pPr>
        <w:pStyle w:val="ListParagraph"/>
        <w:numPr>
          <w:ilvl w:val="0"/>
          <w:numId w:val="{bullets-0}"/>
        </w:numPr>
      </w:pPr>
      <w:r>
        <w:t xml:space="preserve">Large, inelastic market: CROs must solve this; switching costs are high</w:t>
      </w:r>
    </w:p>
    <w:p>
      <w:pPr>
        <w:spacing w:after="240"/>
      </w:pPr>
    </w:p>
    <w:p>
      <w:pPr>
        <w:pStyle w:val="Heading2"/>
      </w:pPr>
      <w:r>
        <w:t xml:space="preserve">Contact</w:t>
      </w:r>
    </w:p>
    <w:p>
      <w:r>
        <w:t xml:space="preserve">TrialChain, Inc.
info@trialchain.io
</w:t>
      </w:r>
      <w:r>
        <w:t xml:space="preserve">DUAL Network Powered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0B981"/>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5966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2026-04-01T09:06:02.164Z</dcterms:created>
  <dcterms:modified xsi:type="dcterms:W3CDTF">2026-04-01T09:06:02.164Z</dcterms:modified>
</cp:coreProperties>
</file>

<file path=docProps/custom.xml><?xml version="1.0" encoding="utf-8"?>
<Properties xmlns="http://schemas.openxmlformats.org/officeDocument/2006/custom-properties" xmlns:vt="http://schemas.openxmlformats.org/officeDocument/2006/docPropsVTypes"/>
</file>