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Trust Mesh™ — Pre-Seed Investment Memo</w:t>
      </w:r>
    </w:p>
    <w:p>
      <w:r>
        <w:rPr>
          <w:rFonts w:ascii="Arial" w:cs="Arial" w:eastAsia="Arial" w:hAnsi="Arial"/>
          <w:sz w:val="20"/>
          <w:szCs w:val="20"/>
        </w:rPr>
        <w:t xml:space="preserve">Composable Credential Stack for DUAL Network</w:t>
      </w:r>
    </w:p>
    <w:p>
      <w:r>
        <w:rPr>
          <w:rFonts w:ascii="Arial" w:cs="Arial" w:eastAsia="Arial" w:hAnsi="Arial"/>
          <w:sz w:val="20"/>
          <w:szCs w:val="20"/>
        </w:rPr>
        <w:t xml:space="preserve">January 2026</w:t>
      </w:r>
    </w:p>
    <w:p>
      <w:r>
        <w:t xml:space="preserve"/>
      </w:r>
    </w:p>
    <w:p>
      <w:pPr>
        <w:pStyle w:val="Heading1"/>
      </w:pPr>
      <w:r>
        <w:t xml:space="preserve">Executive Summary</w:t>
      </w:r>
    </w:p>
    <w:p>
      <w:r>
        <w:t xml:space="preserve">Trust Mesh™ is a composable credential stack that converts identity data into programmable, stackable tokens. Users control portable credentials (KYC, professional certifications, credit scores, insurance verification) that unlock progressively higher-value interactions. Built natively on DUAL Network with privacy-preserving verification, programmable stacking rules, and compliance layers.</w:t>
      </w:r>
    </w:p>
    <w:p>
      <w:r>
        <w:t xml:space="preserve"/>
      </w:r>
    </w:p>
    <w:p>
      <w:pPr>
        <w:pStyle w:val="Heading1"/>
      </w:pPr>
      <w:r>
        <w:t xml:space="preserve">Market Opportunity</w:t>
      </w:r>
    </w:p>
    <w:p>
      <w:pPr>
        <w:pStyle w:val="Heading2"/>
      </w:pPr>
      <w:r>
        <w:t xml:space="preserve">TAM Analysis</w:t>
      </w:r>
    </w:p>
    <w:p>
      <w:pPr>
        <w:pStyle w:val="ListParagraph"/>
        <w:numPr>
          <w:ilvl w:val="0"/>
          <w:numId w:val="2"/>
        </w:numPr>
      </w:pPr>
      <w:r>
        <w:t xml:space="preserve">Digital identity market: $30B by 2028 (Gartner)</w:t>
      </w:r>
    </w:p>
    <w:p>
      <w:pPr>
        <w:pStyle w:val="ListParagraph"/>
        <w:numPr>
          <w:ilvl w:val="0"/>
          <w:numId w:val="2"/>
        </w:numPr>
      </w:pPr>
      <w:r>
        <w:t xml:space="preserve">Credential verification market: $8B TAM</w:t>
      </w:r>
    </w:p>
    <w:p>
      <w:pPr>
        <w:pStyle w:val="ListParagraph"/>
        <w:numPr>
          <w:ilvl w:val="0"/>
          <w:numId w:val="2"/>
        </w:numPr>
      </w:pPr>
      <w:r>
        <w:t xml:space="preserve">Enterprise KYC/AML spending: $15B+ annually</w:t>
      </w:r>
    </w:p>
    <w:p>
      <w:pPr>
        <w:pStyle w:val="ListParagraph"/>
        <w:numPr>
          <w:ilvl w:val="0"/>
          <w:numId w:val="2"/>
        </w:numPr>
      </w:pPr>
      <w:r>
        <w:t xml:space="preserve">Tokenized assets (real estate, securities): $100B+ addressable</w:t>
      </w:r>
    </w:p>
    <w:p>
      <w:r>
        <w:t xml:space="preserve"/>
      </w:r>
    </w:p>
    <w:p>
      <w:pPr>
        <w:pStyle w:val="Heading2"/>
      </w:pPr>
      <w:r>
        <w:t xml:space="preserve">Target Customers</w:t>
      </w:r>
    </w:p>
    <w:p>
      <w:pPr>
        <w:pStyle w:val="ListParagraph"/>
        <w:numPr>
          <w:ilvl w:val="0"/>
          <w:numId w:val="2"/>
        </w:numPr>
      </w:pPr>
      <w:r>
        <w:t xml:space="preserve">Identity verification platforms (Onfido, Jumio, IDology)</w:t>
      </w:r>
    </w:p>
    <w:p>
      <w:pPr>
        <w:pStyle w:val="ListParagraph"/>
        <w:numPr>
          <w:ilvl w:val="0"/>
          <w:numId w:val="2"/>
        </w:numPr>
      </w:pPr>
      <w:r>
        <w:t xml:space="preserve">Professional certification bodies (AWS, ISO, CPA)</w:t>
      </w:r>
    </w:p>
    <w:p>
      <w:pPr>
        <w:pStyle w:val="ListParagraph"/>
        <w:numPr>
          <w:ilvl w:val="0"/>
          <w:numId w:val="2"/>
        </w:numPr>
      </w:pPr>
      <w:r>
        <w:t xml:space="preserve">Fintech platforms requiring composable KYC</w:t>
      </w:r>
    </w:p>
    <w:p>
      <w:pPr>
        <w:pStyle w:val="ListParagraph"/>
        <w:numPr>
          <w:ilvl w:val="0"/>
          <w:numId w:val="2"/>
        </w:numPr>
      </w:pPr>
      <w:r>
        <w:t xml:space="preserve">PropTech platforms for tokenized real estate</w:t>
      </w:r>
    </w:p>
    <w:p>
      <w:r>
        <w:t xml:space="preserve"/>
      </w:r>
    </w:p>
    <w:p>
      <w:pPr>
        <w:pStyle w:val="Heading1"/>
      </w:pPr>
      <w:r>
        <w:t xml:space="preserve">Product Vision</w:t>
      </w:r>
    </w:p>
    <w:p>
      <w:pPr>
        <w:pStyle w:val="Heading2"/>
      </w:pPr>
      <w:r>
        <w:t xml:space="preserve">Core Innovation</w:t>
      </w:r>
    </w:p>
    <w:p>
      <w:r>
        <w:t xml:space="preserve">Identity credentials as programmable tokens that users own and control. Unlike centralized identity providers, Trust Mesh enables:</w:t>
      </w:r>
    </w:p>
    <w:p>
      <w:pPr>
        <w:pStyle w:val="ListParagraph"/>
        <w:numPr>
          <w:ilvl w:val="0"/>
          <w:numId w:val="2"/>
        </w:numPr>
      </w:pPr>
      <w:r>
        <w:t xml:space="preserve">Portability: Credentials move with the user across platforms</w:t>
      </w:r>
    </w:p>
    <w:p>
      <w:pPr>
        <w:pStyle w:val="ListParagraph"/>
        <w:numPr>
          <w:ilvl w:val="0"/>
          <w:numId w:val="2"/>
        </w:numPr>
      </w:pPr>
      <w:r>
        <w:t xml:space="preserve">Composability: Stack KYC + certs + insurance to unlock new services</w:t>
      </w:r>
    </w:p>
    <w:p>
      <w:pPr>
        <w:pStyle w:val="ListParagraph"/>
        <w:numPr>
          <w:ilvl w:val="0"/>
          <w:numId w:val="2"/>
        </w:numPr>
      </w:pPr>
      <w:r>
        <w:t xml:space="preserve">Self-sovereignty: User controls disclosure and revocation</w:t>
      </w:r>
    </w:p>
    <w:p>
      <w:pPr>
        <w:pStyle w:val="ListParagraph"/>
        <w:numPr>
          <w:ilvl w:val="0"/>
          <w:numId w:val="2"/>
        </w:numPr>
      </w:pPr>
      <w:r>
        <w:t xml:space="preserve">Compliance: GDPR data minimization, audit trails for regulators</w:t>
      </w:r>
    </w:p>
    <w:p>
      <w:r>
        <w:t xml:space="preserve"/>
      </w:r>
    </w:p>
    <w:p>
      <w:pPr>
        <w:pStyle w:val="Heading2"/>
      </w:pPr>
      <w:r>
        <w:t xml:space="preserve">MVP (Months 1–6)</w:t>
      </w:r>
    </w:p>
    <w:p>
      <w:pPr>
        <w:pStyle w:val="ListParagraph"/>
        <w:numPr>
          <w:ilvl w:val="0"/>
          <w:numId w:val="2"/>
        </w:numPr>
      </w:pPr>
      <w:r>
        <w:t xml:space="preserve">Single credential type: KYC verification</w:t>
      </w:r>
    </w:p>
    <w:p>
      <w:pPr>
        <w:pStyle w:val="ListParagraph"/>
        <w:numPr>
          <w:ilvl w:val="0"/>
          <w:numId w:val="2"/>
        </w:numPr>
      </w:pPr>
      <w:r>
        <w:t xml:space="preserve">Single issuer: Partner with Onfido or Jumio</w:t>
      </w:r>
    </w:p>
    <w:p>
      <w:pPr>
        <w:pStyle w:val="ListParagraph"/>
        <w:numPr>
          <w:ilvl w:val="0"/>
          <w:numId w:val="2"/>
        </w:numPr>
      </w:pPr>
      <w:r>
        <w:t xml:space="preserve">100 verified users, 50 B2B pilot customers</w:t>
      </w:r>
    </w:p>
    <w:p>
      <w:pPr>
        <w:pStyle w:val="ListParagraph"/>
        <w:numPr>
          <w:ilvl w:val="0"/>
          <w:numId w:val="2"/>
        </w:numPr>
      </w:pPr>
      <w:r>
        <w:t xml:space="preserve">Credential states: Issued → Verified → Active → Expired → Revoked</w:t>
      </w:r>
    </w:p>
    <w:p>
      <w:r>
        <w:t xml:space="preserve"/>
      </w:r>
    </w:p>
    <w:p>
      <w:pPr>
        <w:pStyle w:val="Heading1"/>
      </w:pPr>
      <w:r>
        <w:t xml:space="preserve">DUAL Network Advantage</w:t>
      </w:r>
    </w:p>
    <w:p>
      <w:pPr>
        <w:pStyle w:val="ListParagraph"/>
        <w:numPr>
          <w:ilvl w:val="0"/>
          <w:numId w:val="2"/>
        </w:numPr>
      </w:pPr>
      <w:r>
        <w:t xml:space="preserve">Privacy Layer: Zero-knowledge proofs for credential verification without exposing sensitive data</w:t>
      </w:r>
    </w:p>
    <w:p>
      <w:pPr>
        <w:pStyle w:val="ListParagraph"/>
        <w:numPr>
          <w:ilvl w:val="0"/>
          <w:numId w:val="2"/>
        </w:numPr>
      </w:pPr>
      <w:r>
        <w:t xml:space="preserve">Logic Layer: Programmable stacking rules and prerequisites (e.g., 'KYC + Pro Cert → Access')</w:t>
      </w:r>
    </w:p>
    <w:p>
      <w:pPr>
        <w:pStyle w:val="ListParagraph"/>
        <w:numPr>
          <w:ilvl w:val="0"/>
          <w:numId w:val="2"/>
        </w:numPr>
      </w:pPr>
      <w:r>
        <w:t xml:space="preserve">Mutable State: Expiry, revocation, and compliance holds on credentials</w:t>
      </w:r>
    </w:p>
    <w:p>
      <w:pPr>
        <w:pStyle w:val="ListParagraph"/>
        <w:numPr>
          <w:ilvl w:val="0"/>
          <w:numId w:val="2"/>
        </w:numPr>
      </w:pPr>
      <w:r>
        <w:t xml:space="preserve">Compliance: Built-in regulatory audit trails and data minimization</w:t>
      </w:r>
    </w:p>
    <w:p>
      <w:r>
        <w:t xml:space="preserve"/>
      </w:r>
    </w:p>
    <w:p>
      <w:pPr>
        <w:pStyle w:val="Heading1"/>
      </w:pPr>
      <w:r>
        <w:t xml:space="preserve">Revenue Model</w:t>
      </w:r>
    </w:p>
    <w:p>
      <w:pPr>
        <w:pStyle w:val="ListParagraph"/>
        <w:numPr>
          <w:ilvl w:val="0"/>
          <w:numId w:val="2"/>
        </w:numPr>
      </w:pPr>
      <w:r>
        <w:t xml:space="preserve">B2B SaaS subscription: $1–5 per credential per month</w:t>
      </w:r>
    </w:p>
    <w:p>
      <w:pPr>
        <w:pStyle w:val="ListParagraph"/>
        <w:numPr>
          <w:ilvl w:val="0"/>
          <w:numId w:val="2"/>
        </w:numPr>
      </w:pPr>
      <w:r>
        <w:t xml:space="preserve">Transaction-based: $0.50–2 per verification event</w:t>
      </w:r>
    </w:p>
    <w:p>
      <w:pPr>
        <w:pStyle w:val="ListParagraph"/>
        <w:numPr>
          <w:ilvl w:val="0"/>
          <w:numId w:val="2"/>
        </w:numPr>
      </w:pPr>
      <w:r>
        <w:t xml:space="preserve">Enterprise volume discounts for large issuers</w:t>
      </w:r>
    </w:p>
    <w:p>
      <w:r>
        <w:t xml:space="preserve"/>
      </w:r>
    </w:p>
    <w:p>
      <w:pPr>
        <w:pStyle w:val="Heading1"/>
      </w:pPr>
      <w:r>
        <w:t xml:space="preserve">Financial Projections</w:t>
      </w:r>
    </w:p>
    <w:p>
      <w:r>
        <w:t xml:space="preserve">Year 1: $400K revenue (50 customers × 100 credentials × $2/month avg)</w:t>
      </w:r>
    </w:p>
    <w:p>
      <w:r>
        <w:t xml:space="preserve">Year 2: $3M revenue</w:t>
      </w:r>
    </w:p>
    <w:p>
      <w:r>
        <w:t xml:space="preserve">Year 3: $12M revenue</w:t>
      </w:r>
    </w:p>
    <w:p>
      <w:r>
        <w:t xml:space="preserve">Year 5: $50M revenue (breakeven + profitability by Y3)</w:t>
      </w:r>
    </w:p>
    <w:p>
      <w:r>
        <w:t xml:space="preserve"/>
      </w:r>
    </w:p>
    <w:p>
      <w:pPr>
        <w:pStyle w:val="Heading1"/>
      </w:pPr>
      <w:r>
        <w:t xml:space="preserve">Investment Ask</w:t>
      </w:r>
    </w:p>
    <w:p>
      <w:pPr>
        <w:pStyle w:val="Heading2"/>
      </w:pPr>
      <w:r>
        <w:t xml:space="preserve">$500K Pre-Seed</w:t>
      </w:r>
    </w:p>
    <w:p>
      <w:pPr>
        <w:pStyle w:val="ListParagraph"/>
        <w:numPr>
          <w:ilvl w:val="0"/>
          <w:numId w:val="2"/>
        </w:numPr>
      </w:pPr>
      <w:r>
        <w:t xml:space="preserve">15 months runway</w:t>
      </w:r>
    </w:p>
    <w:p>
      <w:pPr>
        <w:pStyle w:val="ListParagraph"/>
        <w:numPr>
          <w:ilvl w:val="0"/>
          <w:numId w:val="2"/>
        </w:numPr>
      </w:pPr>
      <w:r>
        <w:t xml:space="preserve">MVP development: $250K</w:t>
      </w:r>
    </w:p>
    <w:p>
      <w:pPr>
        <w:pStyle w:val="ListParagraph"/>
        <w:numPr>
          <w:ilvl w:val="0"/>
          <w:numId w:val="2"/>
        </w:numPr>
      </w:pPr>
      <w:r>
        <w:t xml:space="preserve">Go-to-market &amp; partnerships: $150K</w:t>
      </w:r>
    </w:p>
    <w:p>
      <w:pPr>
        <w:pStyle w:val="ListParagraph"/>
        <w:numPr>
          <w:ilvl w:val="0"/>
          <w:numId w:val="2"/>
        </w:numPr>
      </w:pPr>
      <w:r>
        <w:t xml:space="preserve">Operations: $100K</w:t>
      </w:r>
    </w:p>
    <w:p>
      <w:r>
        <w:t xml:space="preserve"/>
      </w:r>
    </w:p>
    <w:p>
      <w:pPr>
        <w:pStyle w:val="Heading1"/>
      </w:pPr>
      <w:r>
        <w:t xml:space="preserve">Key Milestones (18 months)</w:t>
      </w:r>
    </w:p>
    <w:p>
      <w:pPr>
        <w:pStyle w:val="ListParagraph"/>
        <w:numPr>
          <w:ilvl w:val="0"/>
          <w:numId w:val="3"/>
        </w:numPr>
      </w:pPr>
      <w:r>
        <w:t xml:space="preserve">M3: MVP launch with Onfido partnership</w:t>
      </w:r>
    </w:p>
    <w:p>
      <w:pPr>
        <w:pStyle w:val="ListParagraph"/>
        <w:numPr>
          <w:ilvl w:val="0"/>
          <w:numId w:val="3"/>
        </w:numPr>
      </w:pPr>
      <w:r>
        <w:t xml:space="preserve">M6: 100 verified users, 50 B2B pilots</w:t>
      </w:r>
    </w:p>
    <w:p>
      <w:pPr>
        <w:pStyle w:val="ListParagraph"/>
        <w:numPr>
          <w:ilvl w:val="0"/>
          <w:numId w:val="3"/>
        </w:numPr>
      </w:pPr>
      <w:r>
        <w:t xml:space="preserve">M9: Phase 2 (professional certifications) development</w:t>
      </w:r>
    </w:p>
    <w:p>
      <w:pPr>
        <w:pStyle w:val="ListParagraph"/>
        <w:numPr>
          <w:ilvl w:val="0"/>
          <w:numId w:val="3"/>
        </w:numPr>
      </w:pPr>
      <w:r>
        <w:t xml:space="preserve">M12: Launch credential stacking</w:t>
      </w:r>
    </w:p>
    <w:p>
      <w:pPr>
        <w:pStyle w:val="ListParagraph"/>
        <w:numPr>
          <w:ilvl w:val="0"/>
          <w:numId w:val="3"/>
        </w:numPr>
      </w:pPr>
      <w:r>
        <w:t xml:space="preserve">M18: Series A preparation ($1M+ ARR)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3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1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C122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color w:val="0C1222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2026-04-01T09:35:41.576Z</dcterms:created>
  <dcterms:modified xsi:type="dcterms:W3CDTF">2026-04-01T09:35:41.576Z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