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sz w:val="32"/>
          <w:szCs w:val="32"/>
        </w:rPr>
        <w:t xml:space="preserve">WAGE PROTOCOL™</w:t>
      </w:r>
      <w:r>
        <w:rPr>
          <w:sz w:val="24"/>
          <w:szCs w:val="24"/>
        </w:rPr>
        <w:t xml:space="preserve">	</w:t>
      </w:r>
      <w:r>
        <w:rPr>
          <w:i/>
          <w:iCs/>
          <w:sz w:val="20"/>
          <w:szCs w:val="20"/>
        </w:rPr>
        <w:t xml:space="preserve">CONFIDENTIAL</w:t>
      </w:r>
    </w:p>
    <w:p>
      <w:pPr>
        <w:spacing w:after="120"/>
        <w:jc w:val="left"/>
      </w:pPr>
      <w:r>
        <w:rPr>
          <w:i/>
          <w:iCs/>
          <w:sz w:val="28"/>
          <w:szCs w:val="28"/>
        </w:rPr>
        <w:t xml:space="preserve">Self-Executing Payroll on DUAL Network</w:t>
      </w:r>
    </w:p>
    <w:p>
      <w:pPr>
        <w:pStyle w:val="Heading1"/>
      </w:pPr>
      <w:r>
        <w:t xml:space="preserve">Executive Summary</w:t>
      </w:r>
    </w:p>
    <w:p>
      <w:pPr>
        <w:spacing w:after="180"/>
      </w:pPr>
      <w:r>
        <w:t xml:space="preserve">Wage Protocol™ is a blockchain-native payroll system that auto-splits salary tokens on DUAL Network, delivering sub-second finality instead of 1-3 day bank settlement. Employers issue salary tokens that atomically route to tax authorities, pension funds, insurance carriers, and employee wallets—eliminating intermediaries, reconciliation errors, and settlement delays.</w:t>
      </w:r>
    </w:p>
    <w:p>
      <w:pPr>
        <w:spacing w:after="200"/>
      </w:pPr>
      <w:r>
        <w:t xml:space="preserve">We are raising $500K pre-seed to build the MVP: a single-employer, single-jurisdiction (California) proof-of-concept serving 50 employees on USD stablecoin rails. This will position us to partner with payroll processors (ADP, Paychex, Gusto) and scale to 1M+ employees by 2027.</w:t>
      </w:r>
    </w:p>
    <w:p>
      <w:pPr>
        <w:pStyle w:val="Heading1"/>
      </w:pPr>
      <w:r>
        <w:t xml:space="preserve">The Problem</w:t>
      </w:r>
    </w:p>
    <w:p>
      <w:r>
        <w:t xml:space="preserve">Today's payroll is fragmented and slow:</w:t>
      </w:r>
    </w:p>
    <w:p>
      <w:pPr>
        <w:pStyle w:val="ListParagraph"/>
        <w:numPr>
          <w:ilvl w:val="0"/>
          <w:numId w:val="{bullets-0}"/>
        </w:numPr>
      </w:pPr>
      <w:r>
        <w:t xml:space="preserve">Settlement Delay: Employers fund payroll on Friday; employees see money Monday–Wednesday (1-3 days).</w:t>
      </w:r>
    </w:p>
    <w:p>
      <w:pPr>
        <w:pStyle w:val="ListParagraph"/>
        <w:numPr>
          <w:ilvl w:val="0"/>
          <w:numId w:val="{bullets-0}"/>
        </w:numPr>
      </w:pPr>
      <w:r>
        <w:t xml:space="preserve">Compliance Fragmentation: Federal, state, and local tax rules are siloed; processors manually reconcile.</w:t>
      </w:r>
    </w:p>
    <w:p>
      <w:pPr>
        <w:pStyle w:val="ListParagraph"/>
        <w:numPr>
          <w:ilvl w:val="0"/>
          <w:numId w:val="{bullets-0}"/>
        </w:numPr>
      </w:pPr>
      <w:r>
        <w:t xml:space="preserve">Float Risk: Banks and processors profit from settlement float; employees and small businesses bear the cost.</w:t>
      </w:r>
    </w:p>
    <w:p>
      <w:pPr>
        <w:pStyle w:val="ListParagraph"/>
        <w:numPr>
          <w:ilvl w:val="0"/>
          <w:numId w:val="{bullets-0}"/>
        </w:numPr>
      </w:pPr>
      <w:r>
        <w:t xml:space="preserve">Gig Economy Gap: Contractors and gig workers lack reliable, fast payment systems.</w:t>
      </w:r>
    </w:p>
    <w:p>
      <w:pPr>
        <w:pStyle w:val="ListParagraph"/>
        <w:numPr>
          <w:ilvl w:val="0"/>
          <w:numId w:val="{bullets-0}"/>
        </w:numPr>
        <w:spacing w:after="200"/>
      </w:pPr>
      <w:r>
        <w:t xml:space="preserve">Integration Hell: Payroll processors integrate with 50+ tax, pension, and insurance systems separately.</w:t>
      </w:r>
    </w:p>
    <w:p>
      <w:pPr>
        <w:pStyle w:val="Heading1"/>
      </w:pPr>
      <w:r>
        <w:t xml:space="preserve">The Solution</w:t>
      </w:r>
    </w:p>
    <w:p>
      <w:r>
        <w:t xml:space="preserve">Wage Protocol™ encodes payroll logic and compliance as native blockchain operations:</w:t>
      </w:r>
    </w:p>
    <w:p>
      <w:pPr>
        <w:pStyle w:val="ListParagraph"/>
        <w:numPr>
          <w:ilvl w:val="0"/>
          <w:numId w:val="{bullets-0}"/>
        </w:numPr>
      </w:pPr>
      <w:r>
        <w:t xml:space="preserve">Salary Tokens: Employers issue salary tokens (USD stablecoin-backed) that encode split rules.</w:t>
      </w:r>
    </w:p>
    <w:p>
      <w:pPr>
        <w:pStyle w:val="ListParagraph"/>
        <w:numPr>
          <w:ilvl w:val="0"/>
          <w:numId w:val="{bullets-0}"/>
        </w:numPr>
      </w:pPr>
      <w:r>
        <w:t xml:space="preserve">Logic Layer: Trustless split engine (30% federal tax, 5% CA state, 5% FICA, 5% 401k, 55% discretionary).</w:t>
      </w:r>
    </w:p>
    <w:p>
      <w:pPr>
        <w:pStyle w:val="ListParagraph"/>
        <w:numPr>
          <w:ilvl w:val="0"/>
          <w:numId w:val="{bullets-0}"/>
        </w:numPr>
      </w:pPr>
      <w:r>
        <w:t xml:space="preserve">Compliance Layer: Tax jurisdiction rules as smart contracts; auto-generates IRS forms, audit logs.</w:t>
      </w:r>
    </w:p>
    <w:p>
      <w:pPr>
        <w:pStyle w:val="ListParagraph"/>
        <w:numPr>
          <w:ilvl w:val="0"/>
          <w:numId w:val="{bullets-0}"/>
        </w:numPr>
      </w:pPr>
      <w:r>
        <w:t xml:space="preserve">Event Bus: Atomic distribution to government, pension fund, insurance carrier, employee wallet.</w:t>
      </w:r>
    </w:p>
    <w:p>
      <w:pPr>
        <w:pStyle w:val="ListParagraph"/>
        <w:numPr>
          <w:ilvl w:val="0"/>
          <w:numId w:val="{bullets-0}"/>
        </w:numPr>
        <w:spacing w:after="200"/>
      </w:pPr>
      <w:r>
        <w:t xml:space="preserve">Sub-Second Finality: DUAL Network settles in &lt;1 second; no float, no delays.</w:t>
      </w:r>
    </w:p>
    <w:p>
      <w:pPr>
        <w:pStyle w:val="Heading1"/>
      </w:pPr>
      <w:r>
        <w:t xml:space="preserve">MVP Scope</w:t>
      </w:r>
    </w:p>
    <w:p>
      <w:r>
        <w:t xml:space="preserve">Phase 1 (Months 1-12, $500K):</w:t>
      </w:r>
    </w:p>
    <w:p>
      <w:pPr>
        <w:pStyle w:val="ListParagraph"/>
        <w:numPr>
          <w:ilvl w:val="0"/>
          <w:numId w:val="{bullets-0}"/>
        </w:numPr>
      </w:pPr>
      <w:r>
        <w:t xml:space="preserve">Single employer, 50 employees, single jurisdiction (California).</w:t>
      </w:r>
    </w:p>
    <w:p>
      <w:pPr>
        <w:pStyle w:val="ListParagraph"/>
        <w:numPr>
          <w:ilvl w:val="0"/>
          <w:numId w:val="{bullets-0}"/>
        </w:numPr>
      </w:pPr>
      <w:r>
        <w:t xml:space="preserve">USD stablecoin rails (USDC or Circle); DUAL Network finality.</w:t>
      </w:r>
    </w:p>
    <w:p>
      <w:pPr>
        <w:pStyle w:val="ListParagraph"/>
        <w:numPr>
          <w:ilvl w:val="0"/>
          <w:numId w:val="{bullets-0}"/>
        </w:numPr>
      </w:pPr>
      <w:r>
        <w:t xml:space="preserve">CA tax compliance: federal withholding, CA income tax, FICA, SDI, unemployment.</w:t>
      </w:r>
    </w:p>
    <w:p>
      <w:pPr>
        <w:pStyle w:val="ListParagraph"/>
        <w:numPr>
          <w:ilvl w:val="0"/>
          <w:numId w:val="{bullets-0}"/>
        </w:numPr>
      </w:pPr>
      <w:r>
        <w:t xml:space="preserve">Event Bus routes to: US Treasury, CA Dept of Revenue, pension pool, insurance carrier, employee wallet.</w:t>
      </w:r>
    </w:p>
    <w:p>
      <w:pPr>
        <w:pStyle w:val="ListParagraph"/>
        <w:numPr>
          <w:ilvl w:val="0"/>
          <w:numId w:val="{bullets-0}"/>
        </w:numPr>
        <w:spacing w:after="200"/>
      </w:pPr>
      <w:r>
        <w:t xml:space="preserve">Compliance reporting: Automated W-2, 941, 940 generation for tax year reconciliation.</w:t>
      </w:r>
    </w:p>
    <w:p>
      <w:pPr>
        <w:pStyle w:val="Heading1"/>
      </w:pPr>
      <w:r>
        <w:t xml:space="preserve">Market &amp; TAM</w:t>
      </w:r>
    </w:p>
    <w:p>
      <w:r>
        <w:t xml:space="preserve">Payroll processing is a $15B global market dominated by ADP, Paychex, and Workday. Gig economy payments alone represent $5B in annual wages. Compliance automation is a $10B+ adjacent market.</w:t>
      </w:r>
    </w:p>
    <w:p>
      <w:pPr>
        <w:pStyle w:val="ListParagraph"/>
        <w:numPr>
          <w:ilvl w:val="0"/>
          <w:numId w:val="{bullets-0}"/>
        </w:numPr>
      </w:pPr>
      <w:r>
        <w:t xml:space="preserve">Total TAM: ~$20B (payroll + tax + gig compliance).</w:t>
      </w:r>
    </w:p>
    <w:p>
      <w:pPr>
        <w:pStyle w:val="ListParagraph"/>
        <w:numPr>
          <w:ilvl w:val="0"/>
          <w:numId w:val="{bullets-0}"/>
        </w:numPr>
      </w:pPr>
      <w:r>
        <w:t xml:space="preserve">Serviceable TAM (US payroll processors): $3–5B.</w:t>
      </w:r>
    </w:p>
    <w:p>
      <w:pPr>
        <w:pStyle w:val="ListParagraph"/>
        <w:numPr>
          <w:ilvl w:val="0"/>
          <w:numId w:val="{bullets-0}"/>
        </w:numPr>
        <w:spacing w:after="200"/>
      </w:pPr>
      <w:r>
        <w:t xml:space="preserve">SAM (Wage Protocol target): 100+ processors × 1M+ employees = $500M–2B in potential revenue by 2030.</w:t>
      </w:r>
    </w:p>
    <w:p>
      <w:pPr>
        <w:pStyle w:val="Heading1"/>
      </w:pPr>
      <w:r>
        <w:t xml:space="preserve">Revenue Model</w:t>
      </w:r>
    </w:p>
    <w:p>
      <w:pPr>
        <w:pStyle w:val="ListParagraph"/>
        <w:numPr>
          <w:ilvl w:val="0"/>
          <w:numId w:val="{bullets-0}"/>
        </w:numPr>
      </w:pPr>
      <w:r>
        <w:t xml:space="preserve">SaaS: $2–5 per employee per month (scales with payroll headcount).</w:t>
      </w:r>
    </w:p>
    <w:p>
      <w:pPr>
        <w:pStyle w:val="ListParagraph"/>
        <w:numPr>
          <w:ilvl w:val="0"/>
          <w:numId w:val="{bullets-0}"/>
        </w:numPr>
      </w:pPr>
      <w:r>
        <w:t xml:space="preserve">Processor Fee: 0.5% of payroll volume (aligned with customer success).</w:t>
      </w:r>
    </w:p>
    <w:p>
      <w:pPr>
        <w:pStyle w:val="ListParagraph"/>
        <w:numPr>
          <w:ilvl w:val="0"/>
          <w:numId w:val="{bullets-0}"/>
        </w:numPr>
        <w:spacing w:after="200"/>
      </w:pPr>
      <w:r>
        <w:t xml:space="preserve">Compliance Add-On: $500–2,000/year per jurisdiction for rule updates &amp; tax form generation.</w:t>
      </w:r>
    </w:p>
    <w:p>
      <w:r>
        <w:t xml:space="preserve">Conservative forecast:</w:t>
      </w:r>
    </w:p>
    <w:p>
      <w:pPr>
        <w:pStyle w:val="ListParagraph"/>
        <w:numPr>
          <w:ilvl w:val="0"/>
          <w:numId w:val="{bullets-0}"/>
        </w:numPr>
      </w:pPr>
      <w:r>
        <w:t xml:space="preserve">Y1: $500K (50 employees × 50 SMB employers).</w:t>
      </w:r>
    </w:p>
    <w:p>
      <w:pPr>
        <w:pStyle w:val="ListParagraph"/>
        <w:numPr>
          <w:ilvl w:val="0"/>
          <w:numId w:val="{bullets-0}"/>
        </w:numPr>
      </w:pPr>
      <w:r>
        <w:t xml:space="preserve">Y3: $8M (10K employees).</w:t>
      </w:r>
    </w:p>
    <w:p>
      <w:pPr>
        <w:pStyle w:val="ListParagraph"/>
        <w:numPr>
          <w:ilvl w:val="0"/>
          <w:numId w:val="{bullets-0}"/>
        </w:numPr>
        <w:spacing w:after="200"/>
      </w:pPr>
      <w:r>
        <w:t xml:space="preserve">Y5: $55M (1M employees across partners).</w:t>
      </w:r>
    </w:p>
    <w:p>
      <w:pPr>
        <w:pStyle w:val="Heading1"/>
      </w:pPr>
      <w:r>
        <w:t xml:space="preserve">Why DUAL Network?</w:t>
      </w:r>
    </w:p>
    <w:p>
      <w:pPr>
        <w:pStyle w:val="ListParagraph"/>
        <w:numPr>
          <w:ilvl w:val="0"/>
          <w:numId w:val="{bullets-0}"/>
        </w:numPr>
      </w:pPr>
      <w:r>
        <w:t xml:space="preserve">Sub-Second Finality: Eliminates settlement risk &amp; float.</w:t>
      </w:r>
    </w:p>
    <w:p>
      <w:pPr>
        <w:pStyle w:val="ListParagraph"/>
        <w:numPr>
          <w:ilvl w:val="0"/>
          <w:numId w:val="{bullets-0}"/>
        </w:numPr>
      </w:pPr>
      <w:r>
        <w:t xml:space="preserve">Logic Layer: Encodes payroll splits trustlessly; no centralized processor risk.</w:t>
      </w:r>
    </w:p>
    <w:p>
      <w:pPr>
        <w:pStyle w:val="ListParagraph"/>
        <w:numPr>
          <w:ilvl w:val="0"/>
          <w:numId w:val="{bullets-0}"/>
        </w:numPr>
      </w:pPr>
      <w:r>
        <w:t xml:space="preserve">Compliance Layer: Tax rules as smart contracts; audit trail is immutable.</w:t>
      </w:r>
    </w:p>
    <w:p>
      <w:pPr>
        <w:pStyle w:val="ListParagraph"/>
        <w:numPr>
          <w:ilvl w:val="0"/>
          <w:numId w:val="{bullets-0}"/>
        </w:numPr>
      </w:pPr>
      <w:r>
        <w:t xml:space="preserve">Event Bus: Native multi-party atomic settlement (tax, pension, insurance, employee).</w:t>
      </w:r>
    </w:p>
    <w:p>
      <w:pPr>
        <w:pStyle w:val="ListParagraph"/>
        <w:numPr>
          <w:ilvl w:val="0"/>
          <w:numId w:val="{bullets-0}"/>
        </w:numPr>
        <w:spacing w:after="200"/>
      </w:pPr>
      <w:r>
        <w:t xml:space="preserve">Asset Rails: Stablecoin settlement on-chain; no bridge delays or counterparty risk.</w:t>
      </w:r>
    </w:p>
    <w:p>
      <w:pPr>
        <w:pStyle w:val="Heading1"/>
      </w:pPr>
      <w:r>
        <w:t xml:space="preserve">Competitive Advantage</w:t>
      </w:r>
    </w:p>
    <w:p>
      <w:pPr>
        <w:pStyle w:val="ListParagraph"/>
        <w:numPr>
          <w:ilvl w:val="0"/>
          <w:numId w:val="{bullets-0}"/>
        </w:numPr>
      </w:pPr>
      <w:r>
        <w:t xml:space="preserve">First-Mover: No competitor has combined instant payroll + compliance on a public blockchain.</w:t>
      </w:r>
    </w:p>
    <w:p>
      <w:pPr>
        <w:pStyle w:val="ListParagraph"/>
        <w:numPr>
          <w:ilvl w:val="0"/>
          <w:numId w:val="{bullets-0}"/>
        </w:numPr>
      </w:pPr>
      <w:r>
        <w:t xml:space="preserve">B2B Focus: Targeting payroll processors and HR platforms, not consumers.</w:t>
      </w:r>
    </w:p>
    <w:p>
      <w:pPr>
        <w:pStyle w:val="ListParagraph"/>
        <w:numPr>
          <w:ilvl w:val="0"/>
          <w:numId w:val="{bullets-0}"/>
        </w:numPr>
      </w:pPr>
      <w:r>
        <w:t xml:space="preserve">Regulatory Alignment: Compliance built-in from day 1; reduces liability for customers.</w:t>
      </w:r>
    </w:p>
    <w:p>
      <w:pPr>
        <w:pStyle w:val="ListParagraph"/>
        <w:numPr>
          <w:ilvl w:val="0"/>
          <w:numId w:val="{bullets-0}"/>
        </w:numPr>
        <w:spacing w:after="200"/>
      </w:pPr>
      <w:r>
        <w:t xml:space="preserve">Network Effects: More platforms → more tax jurisdictions → higher switching cost.</w:t>
      </w:r>
    </w:p>
    <w:p>
      <w:pPr>
        <w:pStyle w:val="Heading1"/>
      </w:pPr>
      <w:r>
        <w:t xml:space="preserve">Use of Funds ($500K)</w:t>
      </w:r>
    </w:p>
    <w:p>
      <w:pPr>
        <w:pStyle w:val="ListParagraph"/>
        <w:numPr>
          <w:ilvl w:val="0"/>
          <w:numId w:val="{bullets-0}"/>
        </w:numPr>
      </w:pPr>
      <w:r>
        <w:t xml:space="preserve">Team (50%, $250K): 2 full-stack engineers, 1 tax compliance expert, 1 product manager. 12-month salaries.</w:t>
      </w:r>
    </w:p>
    <w:p>
      <w:pPr>
        <w:pStyle w:val="ListParagraph"/>
        <w:numPr>
          <w:ilvl w:val="0"/>
          <w:numId w:val="{bullets-0}"/>
        </w:numPr>
      </w:pPr>
      <w:r>
        <w:t xml:space="preserve">Development (30%, $150K): Logic Layer MVP, Event Bus, DUAL integration, testing.</w:t>
      </w:r>
    </w:p>
    <w:p>
      <w:pPr>
        <w:pStyle w:val="ListParagraph"/>
        <w:numPr>
          <w:ilvl w:val="0"/>
          <w:numId w:val="{bullets-0}"/>
        </w:numPr>
      </w:pPr>
      <w:r>
        <w:t xml:space="preserve">Compliance &amp; Legal (10%, $50K): CA tax rule encoding, regulatory review, insurance licensing research.</w:t>
      </w:r>
    </w:p>
    <w:p>
      <w:pPr>
        <w:pStyle w:val="ListParagraph"/>
        <w:numPr>
          <w:ilvl w:val="0"/>
          <w:numId w:val="{bullets-0}"/>
        </w:numPr>
        <w:spacing w:after="200"/>
      </w:pPr>
      <w:r>
        <w:t xml:space="preserve">Go-to-Market (10%, $50K): Sales collateral, partnership development, conference presence.</w:t>
      </w:r>
    </w:p>
    <w:p>
      <w:pPr>
        <w:pStyle w:val="Heading1"/>
      </w:pPr>
      <w:r>
        <w:t xml:space="preserve">12-Month Timeline</w:t>
      </w:r>
    </w:p>
    <w:p>
      <w:pPr>
        <w:pStyle w:val="ListParagraph"/>
        <w:numPr>
          <w:ilvl w:val="0"/>
          <w:numId w:val="{bullets-0}"/>
        </w:numPr>
      </w:pPr>
      <w:r>
        <w:t xml:space="preserve">Q1 2026: Logic Layer + split rules, CA tax compliance module, preliminary DUAL integration.</w:t>
      </w:r>
    </w:p>
    <w:p>
      <w:pPr>
        <w:pStyle w:val="ListParagraph"/>
        <w:numPr>
          <w:ilvl w:val="0"/>
          <w:numId w:val="{bullets-0}"/>
        </w:numPr>
      </w:pPr>
      <w:r>
        <w:t xml:space="preserve">Q2 2026: Event Bus, stablecoin settlement, insurance/pension routing, regulatory sign-off.</w:t>
      </w:r>
    </w:p>
    <w:p>
      <w:pPr>
        <w:pStyle w:val="ListParagraph"/>
        <w:numPr>
          <w:ilvl w:val="0"/>
          <w:numId w:val="{bullets-0}"/>
        </w:numPr>
      </w:pPr>
      <w:r>
        <w:t xml:space="preserve">Q3 2026: Pilot with single enterprise customer (ADP or Paychex integration).</w:t>
      </w:r>
    </w:p>
    <w:p>
      <w:pPr>
        <w:pStyle w:val="ListParagraph"/>
        <w:numPr>
          <w:ilvl w:val="0"/>
          <w:numId w:val="{bullets-0}"/>
        </w:numPr>
        <w:spacing w:after="200"/>
      </w:pPr>
      <w:r>
        <w:t xml:space="preserve">Q4 2026: Public launch, initial marketing, expand to 50 employees across 1–2 employers.</w:t>
      </w:r>
    </w:p>
    <w:p>
      <w:pPr>
        <w:pStyle w:val="Heading1"/>
      </w:pPr>
      <w:r>
        <w:t xml:space="preserve">Call to Action</w:t>
      </w:r>
    </w:p>
    <w:p>
      <w:r>
        <w:t xml:space="preserve">We are building the future of instant, compliant payroll on DUAL. We seek strategic investors who believe in blockchain-native financial infrastructure and B2B SaaS. A $500K pre-seed investment opens a $20B+ market and positions early backers for significant returns as payroll processors adopt Wage Protocol™.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2026-04-01T09:28:38.590Z</dcterms:created>
  <dcterms:modified xsi:type="dcterms:W3CDTF">2026-04-01T09:28:38.590Z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