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INVESTMENT MEMORANDUM</w:t>
      </w:r>
    </w:p>
    <w:p>
      <w:pPr>
        <w:spacing w:after="120"/>
      </w:pPr>
      <w:r>
        <w:t xml:space="preserve"/>
      </w:r>
    </w:p>
    <w:p>
      <w:pPr>
        <w:pStyle w:val="Heading2"/>
      </w:pPr>
      <w:r>
        <w:t xml:space="preserve">Executive Summary</w:t>
      </w:r>
    </w:p>
    <w:p>
      <w:pPr>
        <w:spacing w:after="120"/>
      </w:pPr>
      <w:r>
        <w:t xml:space="preserve">WarrantyChain™ is a blockchain-based warranty administration and settlement platform designed for extended warranty providers (Asurion, SquareTrade, Allstate Protection Plans). The platform eliminates friction in warranty lifecycle management—from policy issuance through claim settlement—and enables warranty transferability on the secondary market.</w:t>
      </w:r>
    </w:p>
    <w:p>
      <w:pPr>
        <w:spacing w:after="120"/>
      </w:pPr>
      <w:r>
        <w:t xml:space="preserve">The $500K pre-seed round will fund MVP development, regulatory framework, and initial pilot partnerships with major warranty providers seeking digital transformation.</w:t>
      </w:r>
    </w:p>
    <w:p>
      <w:pPr>
        <w:pStyle w:val="Heading2"/>
      </w:pPr>
      <w:r>
        <w:t xml:space="preserve">Company &amp; Vision</w:t>
      </w:r>
    </w:p>
    <w:p>
      <w:pPr>
        <w:spacing w:after="120"/>
      </w:pPr>
      <w:r>
        <w:t xml:space="preserve">WarrantyChain™ is building the settlement infrastructure layer for extended warranties. The extended warranty market is $30B annually, but warranty administration remains manual, fragmented, and opaque. We're solving this by tokenizing warranties on blockchain, enabling instant claims settlement via smart contracts, and allowing policies to transfer between device owners.</w:t>
      </w:r>
    </w:p>
    <w:p>
      <w:pPr>
        <w:spacing w:after="120"/>
      </w:pPr>
      <w:r>
        <w:t xml:space="preserve">Our 5-year vision: become the default warranty registry for major North American providers, capturing 5%+ of the $5B warranty administration TAM ($250M+ in annual SaaS revenue).</w:t>
      </w:r>
    </w:p>
    <w:p>
      <w:pPr>
        <w:pStyle w:val="Heading2"/>
      </w:pPr>
      <w:r>
        <w:t xml:space="preserve">The Problem</w:t>
      </w:r>
    </w:p>
    <w:p>
      <w:pPr>
        <w:spacing w:after="100"/>
      </w:pPr>
      <w:r>
        <w:t xml:space="preserve">1. Fragmentation &amp; Opacity: Warranty records are siloed in provider systems; customers lack a single source of truth for coverage.</w:t>
      </w:r>
    </w:p>
    <w:p>
      <w:pPr>
        <w:spacing w:after="100"/>
      </w:pPr>
      <w:r>
        <w:t xml:space="preserve">2. Slow Claims: Manual underwriting and settlement take 30–60 days; customers wait while providers investigate eligibility.</w:t>
      </w:r>
    </w:p>
    <w:p>
      <w:pPr>
        <w:spacing w:after="100"/>
      </w:pPr>
      <w:r>
        <w:t xml:space="preserve">3. Non-Transferable: Used electronics cannot carry warranties to new owners. Warranty value is lost in secondary markets (trade-ins, resale). This breaks down the used device supply chain.</w:t>
      </w:r>
    </w:p>
    <w:p>
      <w:pPr>
        <w:spacing w:after="100"/>
      </w:pPr>
      <w:r>
        <w:t xml:space="preserve">4. High Fraud &amp; Administrative Cost: Providers estimate 10–15% fraud rate; manual claims processing costs ~$30–50 per claim.</w:t>
      </w:r>
    </w:p>
    <w:p>
      <w:pPr>
        <w:spacing w:after="120"/>
      </w:pPr>
      <w:r>
        <w:t xml:space="preserve">5. Regulatory Complexity: State insurance licensing and multi-jurisdictional compliance create operational overhead for growth.</w:t>
      </w:r>
    </w:p>
    <w:p>
      <w:pPr>
        <w:pStyle w:val="Heading2"/>
      </w:pPr>
      <w:r>
        <w:t xml:space="preserve">The Solution</w:t>
      </w:r>
    </w:p>
    <w:p>
      <w:pPr>
        <w:spacing w:after="120"/>
      </w:pPr>
      <w:r>
        <w:t xml:space="preserve">WarrantyChain™ provides a blockchain-based warranty registry, settlement layer, and transfer protocol:</w:t>
      </w:r>
    </w:p>
    <w:p>
      <w:pPr>
        <w:spacing w:after="100"/>
      </w:pPr>
      <w:r>
        <w:t xml:space="preserve">• Device-Centric Registry: Each warranty is tied to a device serial number and encoded as an NFT-equivalent token with coverage terms, claim history, and ownership chain.</w:t>
      </w:r>
    </w:p>
    <w:p>
      <w:pPr>
        <w:spacing w:after="100"/>
      </w:pPr>
      <w:r>
        <w:t xml:space="preserve">• Instant Settlement: Smart contracts automatically validate claims against coverage terms and settle within 14 days (vs. 30–60 for manual systems).</w:t>
      </w:r>
    </w:p>
    <w:p>
      <w:pPr>
        <w:spacing w:after="100"/>
      </w:pPr>
      <w:r>
        <w:t xml:space="preserve">• Transferability: When a device changes hands, the warranty token transfers with it. Sellers gain value; buyers gain confidence. Providers reach new customers via secondary market.</w:t>
      </w:r>
    </w:p>
    <w:p>
      <w:pPr>
        <w:spacing w:after="100"/>
      </w:pPr>
      <w:r>
        <w:t xml:space="preserve">• Provider Dashboard: Real-time portfolio analytics, claim pipeline, fraud detection, and multi-device portfolio views.</w:t>
      </w:r>
    </w:p>
    <w:p>
      <w:pPr>
        <w:spacing w:after="120"/>
      </w:pPr>
      <w:r>
        <w:t xml:space="preserve">• Regulatory Bridge: Operate as a technology provider (not underwriter); partner with licensed TPAs for claims authority.</w:t>
      </w:r>
    </w:p>
    <w:p>
      <w:pPr>
        <w:pStyle w:val="Heading2"/>
      </w:pPr>
      <w:r>
        <w:t xml:space="preserve">Business Model</w:t>
      </w:r>
    </w:p>
    <w:p>
      <w:pPr>
        <w:spacing w:after="120"/>
      </w:pPr>
      <w:r>
        <w:t xml:space="preserve">Hybrid SaaS with tiered pricing:</w:t>
      </w:r>
    </w:p>
    <w:p>
      <w:pPr>
        <w:spacing w:after="100"/>
      </w:pPr>
      <w:r>
        <w:t xml:space="preserve">• Tier 1: $10K/month base + $2 per active policy per month (small/regional providers, ~5K–20K policies).</w:t>
      </w:r>
    </w:p>
    <w:p>
      <w:pPr>
        <w:spacing w:after="100"/>
      </w:pPr>
      <w:r>
        <w:t xml:space="preserve">• Tier 2: $20K/month base + $1.50/policy + 0.3% of claims settled throughput (enterprise, 50K–500K policies, $1M–$50M annual settlement volume).</w:t>
      </w:r>
    </w:p>
    <w:p>
      <w:pPr>
        <w:spacing w:after="100"/>
      </w:pPr>
      <w:r>
        <w:t xml:space="preserve">• Retailers &amp; API Partners: Custom integration fees ($25K–$100K); settlement revenue on enabled transfers.</w:t>
      </w:r>
    </w:p>
    <w:p>
      <w:pPr>
        <w:spacing w:after="120"/>
      </w:pPr>
      <w:r>
        <w:t xml:space="preserve">Year 1 target: $60K–$250K ARR from 1–2 pilots. Year 5 target: $50M+ ARR (1–2% market share penetration).</w:t>
      </w:r>
    </w:p>
    <w:p>
      <w:pPr>
        <w:pStyle w:val="Heading2"/>
      </w:pPr>
      <w:r>
        <w:t xml:space="preserve">Market Opportunity</w:t>
      </w:r>
    </w:p>
    <w:p>
      <w:pPr>
        <w:spacing w:after="120"/>
      </w:pPr>
      <w:r>
        <w:t xml:space="preserve">Total Addressable Market (TAM):</w:t>
      </w:r>
    </w:p>
    <w:p>
      <w:pPr>
        <w:spacing w:after="100"/>
      </w:pPr>
      <w:r>
        <w:t xml:space="preserve">• $30B annual extended warranty market (Frost &amp; Sullivan, 2024).</w:t>
      </w:r>
    </w:p>
    <w:p>
      <w:pPr>
        <w:spacing w:after="100"/>
      </w:pPr>
      <w:r>
        <w:t xml:space="preserve">• $5B warranty administration services (claims processing, settlement, fraud detection).</w:t>
      </w:r>
    </w:p>
    <w:p>
      <w:pPr>
        <w:spacing w:after="120"/>
      </w:pPr>
      <w:r>
        <w:t xml:space="preserve">Serviceable Addressable Market (SAM): $1–2B (North America, top 100 providers).</w:t>
      </w:r>
    </w:p>
    <w:p>
      <w:pPr>
        <w:pStyle w:val="Heading2"/>
      </w:pPr>
      <w:r>
        <w:t xml:space="preserve">Go-to-Market Strategy</w:t>
      </w:r>
    </w:p>
    <w:p>
      <w:pPr>
        <w:spacing w:after="100"/>
      </w:pPr>
      <w:r>
        <w:t xml:space="preserve">1. Direct Sales: Outbound to Asurion, SquareTrade, Allstate, Costco, Best Buy. All seeking digital transformation and fraud reduction. POC with 1 major provider in Months 3–6.</w:t>
      </w:r>
    </w:p>
    <w:p>
      <w:pPr>
        <w:spacing w:after="100"/>
      </w:pPr>
      <w:r>
        <w:t xml:space="preserve">2. Retailer Partnerships: API integrations with Best Buy, Amazon, Costco. Warranty portability drives used device sales.</w:t>
      </w:r>
    </w:p>
    <w:p>
      <w:pPr>
        <w:spacing w:after="100"/>
      </w:pPr>
      <w:r>
        <w:t xml:space="preserve">3. Secondary Market: Partner with used electronics resellers (Gazelle, eBay, Swappa). Transferable warranties unlock new customer acquisition.</w:t>
      </w:r>
    </w:p>
    <w:p>
      <w:pPr>
        <w:spacing w:after="120"/>
      </w:pPr>
      <w:r>
        <w:t xml:space="preserve">4. OEM Partnerships: Apple, Dell, Lenovo. Embed warranty transferability into device trade-in programs.</w:t>
      </w:r>
    </w:p>
    <w:p>
      <w:pPr>
        <w:pStyle w:val="Heading2"/>
      </w:pPr>
      <w:r>
        <w:t xml:space="preserve">MVP &amp; Roadmap</w:t>
      </w:r>
    </w:p>
    <w:p>
      <w:pPr>
        <w:spacing w:after="100"/>
      </w:pPr>
      <w:r>
        <w:t xml:space="preserve">Pre-Seed Phase (Months 1–6):</w:t>
      </w:r>
    </w:p>
    <w:p>
      <w:pPr>
        <w:spacing w:after="80"/>
      </w:pPr>
      <w:r>
        <w:t xml:space="preserve">– Smart contracts: warranty issuance, claim validation, settlement on Polygon testnet.</w:t>
      </w:r>
    </w:p>
    <w:p>
      <w:pPr>
        <w:spacing w:after="80"/>
      </w:pPr>
      <w:r>
        <w:t xml:space="preserve">– MVP provider dashboard (portfolio view, claim pipeline, settlement reports).</w:t>
      </w:r>
    </w:p>
    <w:p>
      <w:pPr>
        <w:spacing w:after="80"/>
      </w:pPr>
      <w:r>
        <w:t xml:space="preserve">– Single provider pilot (Asurion or SquareTrade) with mock claims. Laptops only.</w:t>
      </w:r>
    </w:p>
    <w:p>
      <w:pPr>
        <w:spacing w:after="100"/>
      </w:pPr>
      <w:r>
        <w:t xml:space="preserve">– Legal framework: insurance licensing requirements, regulatory roadmap, TPA partnership agreement.</w:t>
      </w:r>
    </w:p>
    <w:p>
      <w:pPr>
        <w:spacing w:after="100"/>
      </w:pPr>
      <w:r>
        <w:t xml:space="preserve">Seed Phase (Months 6–18):</w:t>
      </w:r>
    </w:p>
    <w:p>
      <w:pPr>
        <w:spacing w:after="80"/>
      </w:pPr>
      <w:r>
        <w:t xml:space="preserve">– Polygon mainnet launch; live claims settlement.</w:t>
      </w:r>
    </w:p>
    <w:p>
      <w:pPr>
        <w:spacing w:after="80"/>
      </w:pPr>
      <w:r>
        <w:t xml:space="preserve">– Multi-provider support (Asurion + 1–2 others); multi-device (laptops, phones, tablets).</w:t>
      </w:r>
    </w:p>
    <w:p>
      <w:pPr>
        <w:spacing w:after="80"/>
      </w:pPr>
      <w:r>
        <w:t xml:space="preserve">– Warranty transfer protocol; secondary market partnerships (Gazelle, resellers).</w:t>
      </w:r>
    </w:p>
    <w:p>
      <w:pPr>
        <w:spacing w:after="120"/>
      </w:pPr>
      <w:r>
        <w:t xml:space="preserve">– $250K–$500K ARR from live pilots; Series A fundraising.</w:t>
      </w:r>
    </w:p>
    <w:p>
      <w:pPr>
        <w:pStyle w:val="Heading2"/>
      </w:pPr>
      <w:r>
        <w:t xml:space="preserve">Team</w:t>
      </w:r>
    </w:p>
    <w:p>
      <w:pPr>
        <w:spacing w:after="100"/>
      </w:pPr>
      <w:r>
        <w:t xml:space="preserve">CEO: 10+ years fintech/insurance tech. Previous: Product Lead @ InsurTech startup (Series B exit, $50M ARR). MBA (MIT Sloan).</w:t>
      </w:r>
    </w:p>
    <w:p>
      <w:pPr>
        <w:spacing w:after="100"/>
      </w:pPr>
      <w:r>
        <w:t xml:space="preserve">CTO: Blockchain engineer &amp; smart contract architect. Previous: Lead Smart Contracts @ DeFi protocol (5K ETH TVL → $500M). Solidity expert, audit lead.</w:t>
      </w:r>
    </w:p>
    <w:p>
      <w:pPr>
        <w:spacing w:after="100"/>
      </w:pPr>
      <w:r>
        <w:t xml:space="preserve">COO: Warranty industry veteran. 8 years at major third-party administrator (TPA) managing claims operations, 500K+ annual claims.</w:t>
      </w:r>
    </w:p>
    <w:p>
      <w:pPr>
        <w:spacing w:after="120"/>
      </w:pPr>
      <w:r>
        <w:t xml:space="preserve">Advisors: VP Operations @ Asurion; Roche Freedman (crypto compliance counsel); 2x insurance M&amp;A advisor.</w:t>
      </w:r>
    </w:p>
    <w:p>
      <w:pPr>
        <w:pStyle w:val="Heading2"/>
      </w:pPr>
      <w:r>
        <w:t xml:space="preserve">Use of Funds ($500K Pre-Seed)</w:t>
      </w:r>
    </w:p>
    <w:p>
      <w:pPr>
        <w:spacing w:after="100"/>
      </w:pPr>
      <w:r>
        <w:t xml:space="preserve">Engineering (Smart Contracts &amp; Backend): $200K</w:t>
      </w:r>
    </w:p>
    <w:p>
      <w:pPr>
        <w:spacing w:after="80"/>
      </w:pPr>
      <w:r>
        <w:t xml:space="preserve">– Smart contract development &amp; audit</w:t>
      </w:r>
    </w:p>
    <w:p>
      <w:pPr>
        <w:spacing w:after="80"/>
      </w:pPr>
      <w:r>
        <w:t xml:space="preserve">– Backend API &amp; settlement engine</w:t>
      </w:r>
    </w:p>
    <w:p>
      <w:pPr>
        <w:spacing w:after="100"/>
      </w:pPr>
      <w:r>
        <w:t xml:space="preserve">– Dashboard &amp; monitoring tools</w:t>
      </w:r>
    </w:p>
    <w:p>
      <w:pPr>
        <w:spacing w:after="100"/>
      </w:pPr>
      <w:r>
        <w:t xml:space="preserve">Legal &amp; Regulatory: $100K</w:t>
      </w:r>
    </w:p>
    <w:p>
      <w:pPr>
        <w:spacing w:after="80"/>
      </w:pPr>
      <w:r>
        <w:t xml:space="preserve">– Insurance law counsel (licensing, MSB compliance)</w:t>
      </w:r>
    </w:p>
    <w:p>
      <w:pPr>
        <w:spacing w:after="80"/>
      </w:pPr>
      <w:r>
        <w:t xml:space="preserve">– TPA partnership agreement &amp; underwriting authorization</w:t>
      </w:r>
    </w:p>
    <w:p>
      <w:pPr>
        <w:spacing w:after="100"/>
      </w:pPr>
      <w:r>
        <w:t xml:space="preserve">– Regulatory consulting &amp; state licensing roadmap</w:t>
      </w:r>
    </w:p>
    <w:p>
      <w:pPr>
        <w:spacing w:after="100"/>
      </w:pPr>
      <w:r>
        <w:t xml:space="preserve">Sales &amp; Partnerships: $100K</w:t>
      </w:r>
    </w:p>
    <w:p>
      <w:pPr>
        <w:spacing w:after="80"/>
      </w:pPr>
      <w:r>
        <w:t xml:space="preserve">– Provider outreach &amp; POC management</w:t>
      </w:r>
    </w:p>
    <w:p>
      <w:pPr>
        <w:spacing w:after="80"/>
      </w:pPr>
      <w:r>
        <w:t xml:space="preserve">– Retailer partnership development</w:t>
      </w:r>
    </w:p>
    <w:p>
      <w:pPr>
        <w:spacing w:after="100"/>
      </w:pPr>
      <w:r>
        <w:t xml:space="preserve">– Marketing &amp; content</w:t>
      </w:r>
    </w:p>
    <w:p>
      <w:pPr>
        <w:spacing w:after="120"/>
      </w:pPr>
      <w:r>
        <w:t xml:space="preserve">Operations &amp; Runway: $100K</w:t>
      </w:r>
    </w:p>
    <w:p>
      <w:pPr>
        <w:spacing w:after="80"/>
      </w:pPr>
      <w:r>
        <w:t xml:space="preserve">– Team salary &amp; contractor costs</w:t>
      </w:r>
    </w:p>
    <w:p>
      <w:pPr>
        <w:spacing w:after="80"/>
      </w:pPr>
      <w:r>
        <w:t xml:space="preserve">– Cloud infrastructure &amp; blockchain nodes</w:t>
      </w:r>
    </w:p>
    <w:p>
      <w:pPr>
        <w:spacing w:after="100"/>
      </w:pPr>
      <w:r>
        <w:t xml:space="preserve">– Legal entity &amp; compliance</w:t>
      </w:r>
    </w:p>
    <w:p>
      <w:pPr>
        <w:pStyle w:val="Heading2"/>
      </w:pPr>
      <w:r>
        <w:t xml:space="preserve">Financial Projections (5-Year)</w:t>
      </w:r>
    </w:p>
    <w:p>
      <w:pPr>
        <w:spacing w:after="120"/>
      </w:pPr>
      <w:r>
        <w:t xml:space="preserve">Y1: $100K ARR | Y2: $1.2M | Y3: $8.5M | Y4: $28.4M | Y5: $50M</w:t>
      </w:r>
    </w:p>
    <w:p>
      <w:pPr>
        <w:spacing w:after="120"/>
      </w:pPr>
      <w:r>
        <w:t xml:space="preserve">Path to profitability: Break-even by end of Year 2 (customer acquisition cost amortization; 85%+ gross margins on SaaS).</w:t>
      </w:r>
    </w:p>
    <w:p>
      <w:pPr>
        <w:pStyle w:val="Heading2"/>
      </w:pPr>
      <w:r>
        <w:t xml:space="preserve">Risks &amp; Mitigations</w:t>
      </w:r>
    </w:p>
    <w:p>
      <w:pPr>
        <w:spacing w:after="100"/>
      </w:pPr>
      <w:r>
        <w:t xml:space="preserve">Regulatory Risk: State insurance licensing required in some jurisdictions.</w:t>
      </w:r>
    </w:p>
    <w:p>
      <w:pPr>
        <w:spacing w:after="100"/>
      </w:pPr>
      <w:r>
        <w:t xml:space="preserve">Mitigation: Operate as technology provider (not underwriter/TPA). Partner with licensed TPA for claims authority. Legal team mapped state requirements.</w:t>
      </w:r>
    </w:p>
    <w:p>
      <w:pPr>
        <w:spacing w:after="100"/>
      </w:pPr>
      <w:r>
        <w:t xml:space="preserve">Adoption Risk: Provider resistance to blockchain/crypto.</w:t>
      </w:r>
    </w:p>
    <w:p>
      <w:pPr>
        <w:spacing w:after="100"/>
      </w:pPr>
      <w:r>
        <w:t xml:space="preserve">Mitigation: Pilot with forward-thinking provider (SquareTrade, Allstate digital ventures). Highlight cost savings (30–50% admin reduction) and fraud reduction (10–15% savings).</w:t>
      </w:r>
    </w:p>
    <w:p>
      <w:pPr>
        <w:spacing w:after="100"/>
      </w:pPr>
      <w:r>
        <w:t xml:space="preserve">Technical Risk: Blockchain scalability &amp; gas cost volatility.</w:t>
      </w:r>
    </w:p>
    <w:p>
      <w:pPr>
        <w:spacing w:after="120"/>
      </w:pPr>
      <w:r>
        <w:t xml:space="preserve">Mitigation: Deployed on Polygon (sub-cent transactions, EVM-compatible). Batch settlement reduces on-chain volume. Multi-chain roadmap (Ethereum, Solana) by Year 3.</w:t>
      </w:r>
    </w:p>
    <w:p>
      <w:pPr>
        <w:pStyle w:val="Heading2"/>
      </w:pPr>
      <w:r>
        <w:t xml:space="preserve">Exit Strategy</w:t>
      </w:r>
    </w:p>
    <w:p>
      <w:pPr>
        <w:spacing w:after="120"/>
      </w:pPr>
      <w:r>
        <w:t xml:space="preserve">5–7 year horizon: IPO or strategic acquisition by major warranty provider (AIG, Intact, Munich Re), fintech (Stripe, Revolut), or blockchain platform (Polygon). Precedent: Warranty Wise (acquired by Intact for $50M+); Asurant (public, $3B+ market cap).</w:t>
      </w:r>
    </w:p>
    <w:p>
      <w:pPr>
        <w:pStyle w:val="Heading2"/>
      </w:pPr>
      <w:r>
        <w:t xml:space="preserve">Conclusion</w:t>
      </w:r>
    </w:p>
    <w:p>
      <w:pPr>
        <w:spacing w:after="120"/>
      </w:pPr>
      <w:r>
        <w:t xml:space="preserve">WarrantyChain™ addresses a massive, underserved problem: warranty administration is broken. The $30B extended warranty market is ripe for digital transformation. We have a differentiated product, strong team expertise, and clear path to $50M+ ARR within 5 years. We're seeking $500K to build the MVP, secure initial partnerships, and establish market leadership in blockchain warranty infrastructure.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32"/>
      <w:szCs w:val="32"/>
    </w:rPr>
  </w:style>
  <w:style w:type="paragraph" w:styleId="Heading2">
    <w:name w:val="Heading 2"/>
    <w:basedOn w:val="Normal"/>
    <w:next w:val="Normal"/>
    <w:qFormat/>
    <w:pPr>
      <w:spacing w:after="10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2026-04-01T10:32:05.016Z</dcterms:created>
  <dcterms:modified xsi:type="dcterms:W3CDTF">2026-04-01T10:32:05.017Z</dcterms:modified>
</cp:coreProperties>
</file>

<file path=docProps/custom.xml><?xml version="1.0" encoding="utf-8"?>
<Properties xmlns="http://schemas.openxmlformats.org/officeDocument/2006/custom-properties" xmlns:vt="http://schemas.openxmlformats.org/officeDocument/2006/docPropsVTypes"/>
</file>