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color w:val="F97316"/>
          <w:sz w:val="32"/>
          <w:szCs w:val="32"/>
        </w:rPr>
        <w:t xml:space="preserve">MEMORANDUM</w:t>
      </w:r>
    </w:p>
    <w:p>
      <w:pPr>
        <w:spacing w:after="100"/>
        <w:jc w:val="center"/>
      </w:pPr>
      <w:r>
        <w:rPr>
          <w:b/>
          <w:bCs/>
          <w:sz w:val="24"/>
          <w:szCs w:val="24"/>
        </w:rPr>
        <w:t xml:space="preserve">Zone Tokens™: Geo-Fenced Micro-Economy Zones</w:t>
      </w:r>
    </w:p>
    <w:p>
      <w:pPr>
        <w:spacing w:after="240"/>
        <w:jc w:val="center"/>
      </w:pPr>
      <w:r>
        <w:rPr>
          <w:sz w:val="20"/>
          <w:szCs w:val="20"/>
        </w:rPr>
        <w:t xml:space="preserve">DUAL Network | Pre-Seed Investment</w:t>
      </w:r>
    </w:p>
    <w:p>
      <w:pPr>
        <w:spacing w:after="80"/>
      </w:pPr>
      <w:r>
        <w:t xml:space="preserve">TO: </w:t>
      </w:r>
      <w:r>
        <w:rPr>
          <w:b/>
          <w:bCs/>
        </w:rPr>
        <w:t xml:space="preserve">Prospective Investors</w:t>
      </w:r>
      <w:r>
        <w:t xml:space="preserve">
FROM: </w:t>
      </w:r>
      <w:r>
        <w:rPr>
          <w:b/>
          <w:bCs/>
        </w:rPr>
        <w:t xml:space="preserve">DUAL Network Team</w:t>
      </w:r>
      <w:r>
        <w:t xml:space="preserve">
DATE: </w:t>
      </w:r>
      <w:r>
        <w:rPr>
          <w:b/>
          <w:bCs/>
        </w:rPr>
        <w:t xml:space="preserve">April 2026</w:t>
      </w:r>
      <w:r>
        <w:t xml:space="preserve">
RE: </w:t>
      </w:r>
      <w:r>
        <w:rPr>
          <w:b/>
          <w:bCs/>
        </w:rPr>
        <w:t xml:space="preserve">$500K Pre-Seed Funding Request</w:t>
      </w:r>
    </w:p>
    <w:p>
      <w:pPr>
        <w:spacing w:after="240"/>
      </w:pPr>
      <w:r>
        <w:t xml:space="preserve"/>
      </w:r>
    </w:p>
    <w:p>
      <w:pPr>
        <w:pStyle w:val="Heading1"/>
      </w:pPr>
      <w:r>
        <w:t xml:space="preserve">Executive Summary</w:t>
      </w:r>
    </w:p>
    <w:p>
      <w:pPr>
        <w:spacing w:after="200"/>
      </w:pPr>
      <w:r>
        <w:t xml:space="preserve">Zone Tokens™ are geographically-fenced digital tokens that activate unique spending power only within specific zones. Unlike traditional loyalty programs or digital currencies, Zone Tokens leverage DUAL Network's native geo-positioning architecture to create hyperlocal economic ecosystems for events, festivals, and tourism destinations.</w:t>
      </w:r>
    </w:p>
    <w:p>
      <w:pPr>
        <w:spacing w:after="200"/>
      </w:pPr>
      <w:r>
        <w:t xml:space="preserve">We are seeking $500K in pre-seed funding to build the MVP, validate product-market fit with a single festival, and establish partnerships with event platforms and tourism boards.</w:t>
      </w:r>
    </w:p>
    <w:p>
      <w:pPr>
        <w:pStyle w:val="Heading1"/>
      </w:pPr>
      <w:r>
        <w:t xml:space="preserve">The Opportunity</w:t>
      </w:r>
    </w:p>
    <w:p>
      <w:pPr>
        <w:spacing w:after="120"/>
      </w:pPr>
      <w:r>
        <w:rPr>
          <w:b/>
          <w:bCs/>
        </w:rPr>
        <w:t xml:space="preserve">Market Size:</w:t>
      </w:r>
    </w:p>
    <w:p>
      <w:pPr>
        <w:spacing w:after="200"/>
      </w:pPr>
      <w:r>
        <w:t xml:space="preserve">The global event economy is valued at $1.1 trillion, with 52% of attendee spend concentrated in venue zones. The hyperlocal loyalty and local currency market represents an additional $20B in annual spend, currently fragmented across non-interoperable platforms. Zone Tokens address both: venue activation + persistent post-event loyalty.</w:t>
      </w:r>
    </w:p>
    <w:p>
      <w:pPr>
        <w:spacing w:after="120"/>
      </w:pPr>
      <w:r>
        <w:rPr>
          <w:b/>
          <w:bCs/>
        </w:rPr>
        <w:t xml:space="preserve">Why Now:</w:t>
      </w:r>
    </w:p>
    <w:p>
      <w:pPr>
        <w:spacing w:after="200"/>
      </w:pPr>
      <w:r>
        <w:t xml:space="preserve">Post-pandemic, event organizers and tourism boards prioritize experiential activation and data-driven visitor conversion. Digital payment adoption is near-ubiquitous. DUAL's mutable token architecture enables features (geo-fencing, dynamic multipliers) that were previously impossible on immutable blockchains.</w:t>
      </w:r>
    </w:p>
    <w:p>
      <w:pPr>
        <w:pStyle w:val="Heading1"/>
      </w:pPr>
      <w:r>
        <w:t xml:space="preserve">Product</w:t>
      </w:r>
    </w:p>
    <w:p>
      <w:pPr>
        <w:spacing w:after="200"/>
      </w:pPr>
      <w:r>
        <w:t xml:space="preserve">Zone Tokens have four states: Minted (pre-distribution) → Activated (user enters zone, unlocks 2x spending power) → Spent (consumed at merchant) → Expired (30-day window).</w:t>
      </w:r>
    </w:p>
    <w:p>
      <w:pPr>
        <w:spacing w:after="120"/>
      </w:pPr>
      <w:r>
        <w:rPr>
          <w:b/>
          <w:bCs/>
        </w:rPr>
        <w:t xml:space="preserve">Key Features: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2x Spending Power: Double purchase power within zone; auto-expires after 30 days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Geo-Lock: Tokens suspend outside zone, preventing arbitrage or cross-border resale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Loyalty Multipliers: Dynamic bonuses at partner merchants (e.g., +20% at food vendors on Day 1)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Event Bus Integration: Transaction events trigger loyalty rewards, enabling real-time gamification</w:t>
      </w:r>
    </w:p>
    <w:p>
      <w:pPr>
        <w:pStyle w:val="Heading1"/>
      </w:pPr>
      <w:r>
        <w:t xml:space="preserve">MVP Scope</w:t>
      </w:r>
    </w:p>
    <w:p>
      <w:pPr>
        <w:spacing w:after="120"/>
      </w:pPr>
      <w:r>
        <w:rPr>
          <w:b/>
          <w:bCs/>
        </w:rPr>
        <w:t xml:space="preserve">Constraints (to reach PMF quickly):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Single event (500-1K attendees); single zone (2-3km radius); cashless QR-code redemption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10-15 partner merchants; basic analytics dashboard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Timeline: 16 weeks from funding to event launch</w:t>
      </w:r>
    </w:p>
    <w:p>
      <w:pPr>
        <w:pStyle w:val="Heading1"/>
      </w:pPr>
      <w:r>
        <w:t xml:space="preserve">Revenue Model</w:t>
      </w:r>
    </w:p>
    <w:p>
      <w:pPr>
        <w:spacing w:after="120"/>
      </w:pPr>
      <w:r>
        <w:rPr>
          <w:b/>
          <w:bCs/>
        </w:rPr>
        <w:t xml:space="preserve">Dual revenue streams: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Transaction Fees: 2-5% of in-zone spend. Example: 500-attendee event with $50K in-zone volume = $1-2.5K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Zone Setup SaaS: $5K-50K per event, based on scale, attendee count, and merchant onboarding scope</w:t>
      </w:r>
    </w:p>
    <w:p>
      <w:pPr>
        <w:spacing w:after="200"/>
      </w:pPr>
      <w:r>
        <w:t xml:space="preserve">Year 1 conservative projection: 6 events at $10K avg. SaaS + $1.5K avg. transaction fees = $69K ARR</w:t>
      </w:r>
    </w:p>
    <w:p>
      <w:pPr>
        <w:pStyle w:val="Heading1"/>
      </w:pPr>
      <w:r>
        <w:t xml:space="preserve">Competitive Advantage</w:t>
      </w:r>
    </w:p>
    <w:p>
      <w:pPr>
        <w:spacing w:after="120"/>
      </w:pPr>
      <w:r>
        <w:rPr>
          <w:b/>
          <w:bCs/>
        </w:rPr>
        <w:t xml:space="preserve">1. Native Geo-Positioning Architecture</w:t>
      </w:r>
    </w:p>
    <w:p>
      <w:pPr>
        <w:spacing w:after="200"/>
      </w:pPr>
      <w:r>
        <w:t xml:space="preserve">DUAL is the only platform with location logic built into the token protocol itself, not bolted on as software middleware. This eliminates latency and enables real-time geo-state transitions.</w:t>
      </w:r>
    </w:p>
    <w:p>
      <w:pPr>
        <w:spacing w:after="120"/>
      </w:pPr>
      <w:r>
        <w:rPr>
          <w:b/>
          <w:bCs/>
        </w:rPr>
        <w:t xml:space="preserve">2. Mutable State</w:t>
      </w:r>
    </w:p>
    <w:p>
      <w:pPr>
        <w:spacing w:after="200"/>
      </w:pPr>
      <w:r>
        <w:t xml:space="preserve">Organizers can adjust spending power, multipliers, and expiry post-mint—impossible on traditional blockchains.</w:t>
      </w:r>
    </w:p>
    <w:p>
      <w:pPr>
        <w:spacing w:after="120"/>
      </w:pPr>
      <w:r>
        <w:rPr>
          <w:b/>
          <w:bCs/>
        </w:rPr>
        <w:t xml:space="preserve">3. Logic Layer + Event Bus</w:t>
      </w:r>
    </w:p>
    <w:p>
      <w:pPr>
        <w:spacing w:after="200"/>
      </w:pPr>
      <w:r>
        <w:t xml:space="preserve">Dynamic multipliers and real-time loyalty rewards create network effects that strengthen with each transaction.</w:t>
      </w:r>
    </w:p>
    <w:p>
      <w:pPr>
        <w:pStyle w:val="Heading1"/>
      </w:pPr>
      <w:r>
        <w:t xml:space="preserve">Target Market</w:t>
      </w:r>
    </w:p>
    <w:p>
      <w:pPr>
        <w:spacing w:after="120"/>
      </w:pPr>
      <w:r>
        <w:rPr>
          <w:b/>
          <w:bCs/>
        </w:rPr>
        <w:t xml:space="preserve">Primary: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Event Organizers: Music festivals, conferences, expos (Coachella, Austin City Limits, SXSW)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Tourism Boards: CVBs pushing visitor conversion and in-destination spend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Economic Development Offices: Hyperlocal stimulus and downtown revitalization</w:t>
      </w:r>
    </w:p>
    <w:p>
      <w:pPr>
        <w:spacing w:after="120"/>
      </w:pPr>
      <w:r>
        <w:rPr>
          <w:b/>
          <w:bCs/>
        </w:rPr>
        <w:t xml:space="preserve">Secondary (Platform Partnerships):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Ticketmaster, Eventbrite, AXS—white-label Zone Token tooling for their clients</w:t>
      </w:r>
    </w:p>
    <w:p>
      <w:pPr>
        <w:pStyle w:val="Heading1"/>
      </w:pPr>
      <w:r>
        <w:t xml:space="preserve">Use Case: Coachella Festival</w:t>
      </w:r>
    </w:p>
    <w:p>
      <w:pPr>
        <w:spacing w:after="200"/>
      </w:pPr>
      <w:r>
        <w:t xml:space="preserve">Coachella Valley Music and Arts Festival (40K+ attendees, 2-weekend event). A zone is deployed around the venue. Week 1: 500 attendees distributed 100 ZT tokens each. Average in-zone spend: $100/attendee = $50K. DUAL revenue: $2.5K transaction fees (5%) + $20K zone setup = $22.5K per weekend.</w:t>
      </w:r>
    </w:p>
    <w:p>
      <w:pPr>
        <w:pStyle w:val="Heading1"/>
      </w:pPr>
      <w:r>
        <w:t xml:space="preserve">Traction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Conversations with 3 regional festival platforms (Bonnaroo promoter network, regional EDM circuit)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LOI from Midwest economic development program (250K annual visitors, seeking loyalty tech)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Proof-of-concept: Geo-token minting in DUAL testnet (token activation tied to GPS + signature verification)</w:t>
      </w:r>
    </w:p>
    <w:p>
      <w:pPr>
        <w:pStyle w:val="ListParagraph"/>
        <w:numPr>
          <w:ilvl/>
          <w:numId w:val="1"/>
        </w:numPr>
        <w:spacing w:after="200"/>
      </w:pPr>
      <w:r>
        <w:t xml:space="preserve">Advisory partnership: Ticketmaster's innovation lab (intro'd via investor)</w:t>
      </w:r>
    </w:p>
    <w:p>
      <w:pPr>
        <w:pStyle w:val="Heading1"/>
      </w:pPr>
      <w:r>
        <w:t xml:space="preserve">Use of Funds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6240"/>
      </w:tblGrid>
      <w:tr>
        <w:tc>
          <w:tcPr>
            <w:tcW w:type="dxa" w:w="3120"/>
            <w:tcBorders>
              <w:top w:val="single" w:sz="1"/>
              <w:left w:val="single" w:sz="1"/>
              <w:bottom w:val="single" w:sz="1"/>
              <w:right w:val="single" w:sz="1"/>
            </w:tcBorders>
            <w:shd w:fill="F9731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Category</w:t>
            </w:r>
          </w:p>
        </w:tc>
        <w:tc>
          <w:tcPr>
            <w:tcW w:type="dxa" w:w="6240"/>
            <w:tcBorders>
              <w:top w:val="single" w:sz="1"/>
              <w:left w:val="single" w:sz="1"/>
              <w:bottom w:val="single" w:sz="1"/>
              <w:right w:val="single" w:sz="1"/>
            </w:tcBorders>
            <w:shd w:fill="F9731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Amount</w:t>
            </w:r>
          </w:p>
        </w:tc>
      </w:tr>
      <w:tr>
        <w:tc>
          <w:tcPr>
            <w:tcW w:type="dxa" w:w="3120"/>
            <w:tcBorders>
              <w:top w:val="single" w:sz="1"/>
              <w:left w:val="single" w:sz="1"/>
              <w:bottom w:val="single" w:sz="1"/>
              <w:right w:val="singl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Product &amp; Smart Contracts</w:t>
            </w:r>
          </w:p>
        </w:tc>
        <w:tc>
          <w:tcPr>
            <w:tcW w:type="dxa" w:w="6240"/>
            <w:tcBorders>
              <w:top w:val="single" w:sz="1"/>
              <w:left w:val="single" w:sz="1"/>
              <w:bottom w:val="single" w:sz="1"/>
              <w:right w:val="singl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$250,000</w:t>
            </w:r>
          </w:p>
        </w:tc>
      </w:tr>
      <w:tr>
        <w:tc>
          <w:tcPr>
            <w:tcW w:type="dxa" w:w="3120"/>
            <w:tcBorders>
              <w:top w:val="single" w:sz="1"/>
              <w:left w:val="single" w:sz="1"/>
              <w:bottom w:val="single" w:sz="1"/>
              <w:right w:val="singl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GTM &amp; Partnerships</w:t>
            </w:r>
          </w:p>
        </w:tc>
        <w:tc>
          <w:tcPr>
            <w:tcW w:type="dxa" w:w="6240"/>
            <w:tcBorders>
              <w:top w:val="single" w:sz="1"/>
              <w:left w:val="single" w:sz="1"/>
              <w:bottom w:val="single" w:sz="1"/>
              <w:right w:val="singl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$150,000</w:t>
            </w:r>
          </w:p>
        </w:tc>
      </w:tr>
      <w:tr>
        <w:tc>
          <w:tcPr>
            <w:tcW w:type="dxa" w:w="3120"/>
            <w:tcBorders>
              <w:top w:val="single" w:sz="1"/>
              <w:left w:val="single" w:sz="1"/>
              <w:bottom w:val="single" w:sz="1"/>
              <w:right w:val="singl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Operations &amp; Legal</w:t>
            </w:r>
          </w:p>
        </w:tc>
        <w:tc>
          <w:tcPr>
            <w:tcW w:type="dxa" w:w="6240"/>
            <w:tcBorders>
              <w:top w:val="single" w:sz="1"/>
              <w:left w:val="single" w:sz="1"/>
              <w:bottom w:val="single" w:sz="1"/>
              <w:right w:val="single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$100,000</w:t>
            </w:r>
          </w:p>
        </w:tc>
      </w:tr>
      <w:tr>
        <w:tc>
          <w:tcPr>
            <w:tcW w:type="dxa" w:w="3120"/>
            <w:tcBorders>
              <w:top w:val="single" w:color="F97316" w:sz="1"/>
              <w:left w:val="single" w:sz="1"/>
              <w:bottom w:val="single" w:color="F97316" w:sz="2"/>
              <w:right w:val="single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TOTAL</w:t>
            </w:r>
          </w:p>
        </w:tc>
        <w:tc>
          <w:tcPr>
            <w:tcW w:type="dxa" w:w="6240"/>
            <w:tcBorders>
              <w:top w:val="single" w:color="F97316" w:sz="1"/>
              <w:left w:val="single" w:sz="1"/>
              <w:bottom w:val="single" w:color="F97316" w:sz="2"/>
              <w:right w:val="single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$500,000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Team</w:t>
      </w:r>
    </w:p>
    <w:p>
      <w:pPr>
        <w:spacing w:after="120"/>
      </w:pPr>
      <w:r>
        <w:rPr>
          <w:b/>
          <w:bCs/>
        </w:rPr>
        <w:t xml:space="preserve">Co-founder &amp; CTO: </w:t>
      </w:r>
      <w:r>
        <w:t xml:space="preserve">10-year blockchain engineer. Shipped production systems at Polygon and Solana. Deep expertise in token state management and geo-oracle integration.</w:t>
      </w:r>
    </w:p>
    <w:p>
      <w:pPr>
        <w:spacing w:after="120"/>
      </w:pPr>
      <w:r>
        <w:rPr>
          <w:b/>
          <w:bCs/>
        </w:rPr>
        <w:t xml:space="preserve">Co-founder &amp; Head of Product: </w:t>
      </w:r>
      <w:r>
        <w:t xml:space="preserve">Former Eventbrite platform lead. 6+ years in event tech. Led loyalty program redesigns for 500+ events.</w:t>
      </w:r>
    </w:p>
    <w:p>
      <w:pPr>
        <w:spacing w:after="200"/>
      </w:pPr>
      <w:r>
        <w:rPr>
          <w:b/>
          <w:bCs/>
        </w:rPr>
        <w:t xml:space="preserve">Co-founder &amp; Biz Dev: </w:t>
      </w:r>
      <w:r>
        <w:t xml:space="preserve">8-year tourism board consultant. Direct relationships with CVBs and festival platforms.</w:t>
      </w:r>
    </w:p>
    <w:p>
      <w:pPr>
        <w:pStyle w:val="Heading1"/>
      </w:pPr>
      <w:r>
        <w:t xml:space="preserve">Risks &amp; Mitigation</w:t>
      </w:r>
    </w:p>
    <w:p>
      <w:pPr>
        <w:spacing w:after="120"/>
      </w:pPr>
      <w:r>
        <w:rPr>
          <w:b/>
          <w:bCs/>
        </w:rPr>
        <w:t xml:space="preserve">Geo-Oracle Latency: </w:t>
      </w:r>
      <w:r>
        <w:t xml:space="preserve">Token state activation tied to GPS verification. Mitigation: Testnet validation with redundant oracles.</w:t>
      </w:r>
    </w:p>
    <w:p>
      <w:pPr>
        <w:spacing w:after="120"/>
      </w:pPr>
      <w:r>
        <w:rPr>
          <w:b/>
          <w:bCs/>
        </w:rPr>
        <w:t xml:space="preserve">Merchant Adoption: </w:t>
      </w:r>
      <w:r>
        <w:t xml:space="preserve">QR-code redemption requires POS integration. Mitigation: Partner with existing payment processors (Square, Toast).</w:t>
      </w:r>
    </w:p>
    <w:p>
      <w:pPr>
        <w:spacing w:after="200"/>
      </w:pPr>
      <w:r>
        <w:rPr>
          <w:b/>
          <w:bCs/>
        </w:rPr>
        <w:t xml:space="preserve">Regulatory: </w:t>
      </w:r>
      <w:r>
        <w:t xml:space="preserve">Tokens as 'prepaid' instruments may face state licensing. Mitigation: Engage compliance firm early; target states with clear frameworks (CA, NY).</w:t>
      </w:r>
    </w:p>
    <w:p>
      <w:pPr>
        <w:pStyle w:val="Heading1"/>
      </w:pPr>
      <w:r>
        <w:t xml:space="preserve">Path to $10M ARR</w:t>
      </w:r>
    </w:p>
    <w:p>
      <w:pPr>
        <w:spacing w:after="120"/>
      </w:pPr>
      <w:r>
        <w:rPr>
          <w:b/>
          <w:bCs/>
        </w:rPr>
        <w:t xml:space="preserve">Year 1: </w:t>
      </w:r>
      <w:r>
        <w:t xml:space="preserve">6 events, $69K ARR (transactions + SaaS)</w:t>
      </w:r>
    </w:p>
    <w:p>
      <w:pPr>
        <w:spacing w:after="120"/>
      </w:pPr>
      <w:r>
        <w:rPr>
          <w:b/>
          <w:bCs/>
        </w:rPr>
        <w:t xml:space="preserve">Year 2: </w:t>
      </w:r>
      <w:r>
        <w:t xml:space="preserve">25 events, multi-zone capability, platform partnerships → $1.2M ARR</w:t>
      </w:r>
    </w:p>
    <w:p>
      <w:pPr>
        <w:spacing w:after="120"/>
      </w:pPr>
      <w:r>
        <w:rPr>
          <w:b/>
          <w:bCs/>
        </w:rPr>
        <w:t xml:space="preserve">Year 3: </w:t>
      </w:r>
      <w:r>
        <w:t xml:space="preserve">100+ events, white-label SaaS, Ticketmaster/Eventbrite integrations → $10M ARR</w:t>
      </w:r>
    </w:p>
    <w:p>
      <w:pPr>
        <w:spacing w:after="200"/>
      </w:pPr>
      <w:r>
        <w:t xml:space="preserve">Growth drivers: Event volume scaling, transaction volume/zone, platform SaaS multiples, B2B2C licensing.</w:t>
      </w:r>
    </w:p>
    <w:p>
      <w:pPr>
        <w:pStyle w:val="Heading1"/>
      </w:pPr>
      <w:r>
        <w:t xml:space="preserve">Conclusion</w:t>
      </w:r>
    </w:p>
    <w:p>
      <w:r>
        <w:t xml:space="preserve">Zone Tokens™ unlock a $20B market by combining DUAL's native geo-positioning with event and tourism economics. We're seeking capital to prove product-market fit with a single event, then scale via platform partnerships. The pre-seed round enables us to reach revenue-positive status in 18 months and command a strong Series A position.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pPr>
      <w:spacing w:after="120" w:before="240"/>
      <w:outlineLvl w:val="0"/>
    </w:pPr>
    <w:rPr>
      <w:rFonts w:ascii="Arial" w:cs="Arial" w:eastAsia="Arial" w:hAnsi="Arial"/>
      <w:b/>
      <w:bCs/>
      <w:color w:val="F97316"/>
      <w:sz w:val="32"/>
      <w:szCs w:val="32"/>
    </w:rPr>
  </w:style>
  <w:style w:type="paragraph" w:styleId="Heading2">
    <w:name w:val="Heading 2"/>
    <w:basedOn w:val="Normal"/>
    <w:next w:val="Normal"/>
    <w:pPr>
      <w:spacing w:after="100" w:before="180"/>
      <w:outlineLvl w:val="1"/>
    </w:pPr>
    <w:rPr>
      <w:rFonts w:ascii="Arial" w:cs="Arial" w:eastAsia="Arial" w:hAnsi="Arial"/>
      <w:b/>
      <w:bCs/>
      <w:color w:val="1C1917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2026-04-01T09:33:16.103Z</dcterms:created>
  <dcterms:modified xsi:type="dcterms:W3CDTF">2026-04-01T09:33:16.103Z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